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229580">
      <w:pPr>
        <w:spacing w:line="700" w:lineRule="exact"/>
        <w:rPr>
          <w:rFonts w:eastAsia="黑体"/>
        </w:rPr>
      </w:pPr>
      <w:r>
        <w:rPr>
          <w:rFonts w:eastAsia="黑体"/>
        </w:rPr>
        <w:t>附件1：</w:t>
      </w:r>
    </w:p>
    <w:p w14:paraId="04FC4C7D">
      <w:pPr>
        <w:spacing w:line="700" w:lineRule="exact"/>
        <w:rPr>
          <w:rFonts w:eastAsia="黑体"/>
        </w:rPr>
      </w:pPr>
    </w:p>
    <w:p w14:paraId="4F568AEA">
      <w:pPr>
        <w:spacing w:line="700" w:lineRule="exact"/>
        <w:rPr>
          <w:rFonts w:eastAsia="黑体"/>
        </w:rPr>
      </w:pPr>
    </w:p>
    <w:p w14:paraId="671A0B1F">
      <w:pPr>
        <w:spacing w:line="700" w:lineRule="exact"/>
        <w:rPr>
          <w:rFonts w:eastAsia="黑体"/>
        </w:rPr>
      </w:pPr>
    </w:p>
    <w:p w14:paraId="26E03EAA">
      <w:pPr>
        <w:spacing w:line="700" w:lineRule="exact"/>
        <w:rPr>
          <w:rFonts w:eastAsia="黑体"/>
        </w:rPr>
      </w:pPr>
    </w:p>
    <w:p w14:paraId="4F0E21EC">
      <w:pPr>
        <w:jc w:val="center"/>
        <w:rPr>
          <w:rFonts w:hint="eastAsia" w:ascii="Arial" w:hAnsi="Arial" w:eastAsia="方正小标宋简体" w:cs="Arial"/>
          <w:sz w:val="44"/>
          <w:szCs w:val="44"/>
        </w:rPr>
      </w:pPr>
      <w:r>
        <w:rPr>
          <w:rFonts w:hint="eastAsia" w:ascii="Arial" w:hAnsi="Arial" w:eastAsia="方正小标宋简体" w:cs="Arial"/>
          <w:sz w:val="44"/>
          <w:szCs w:val="44"/>
        </w:rPr>
        <w:t>长春经济技术开发区财务结算中心</w:t>
      </w:r>
    </w:p>
    <w:p w14:paraId="6037421A">
      <w:pPr>
        <w:jc w:val="center"/>
        <w:rPr>
          <w:rFonts w:hint="eastAsia" w:ascii="Arial" w:hAnsi="Arial" w:eastAsia="方正小标宋简体" w:cs="Arial"/>
          <w:sz w:val="44"/>
          <w:szCs w:val="44"/>
          <w:lang w:eastAsia="zh-CN"/>
        </w:rPr>
      </w:pPr>
      <w:r>
        <w:rPr>
          <w:rFonts w:hint="eastAsia" w:ascii="Arial" w:hAnsi="Arial" w:eastAsia="方正小标宋简体" w:cs="Arial"/>
          <w:sz w:val="44"/>
          <w:szCs w:val="44"/>
          <w:lang w:eastAsia="zh-CN"/>
        </w:rPr>
        <w:t>（</w:t>
      </w:r>
      <w:r>
        <w:rPr>
          <w:rFonts w:hint="eastAsia" w:ascii="Arial" w:hAnsi="Arial" w:eastAsia="方正小标宋简体" w:cs="Arial"/>
          <w:sz w:val="44"/>
          <w:szCs w:val="44"/>
        </w:rPr>
        <w:t>长春经济技术开发区国库集中支付中心</w:t>
      </w:r>
      <w:r>
        <w:rPr>
          <w:rFonts w:hint="eastAsia" w:ascii="Arial" w:hAnsi="Arial" w:eastAsia="方正小标宋简体" w:cs="Arial"/>
          <w:sz w:val="44"/>
          <w:szCs w:val="44"/>
          <w:lang w:eastAsia="zh-CN"/>
        </w:rPr>
        <w:t>）</w:t>
      </w:r>
    </w:p>
    <w:p w14:paraId="386C9209">
      <w:pPr>
        <w:jc w:val="center"/>
        <w:rPr>
          <w:rFonts w:hint="eastAsia" w:ascii="Arial" w:hAnsi="Arial" w:eastAsia="方正小标宋简体" w:cs="Arial"/>
          <w:sz w:val="44"/>
          <w:szCs w:val="44"/>
        </w:rPr>
      </w:pPr>
      <w:r>
        <w:rPr>
          <w:rFonts w:hint="eastAsia" w:ascii="Arial" w:hAnsi="Arial" w:eastAsia="方正小标宋简体" w:cs="Arial"/>
          <w:sz w:val="44"/>
          <w:szCs w:val="44"/>
        </w:rPr>
        <w:t>202</w:t>
      </w:r>
      <w:r>
        <w:rPr>
          <w:rFonts w:hint="eastAsia" w:ascii="Arial" w:hAnsi="Arial" w:eastAsia="方正小标宋简体" w:cs="Arial"/>
          <w:sz w:val="44"/>
          <w:szCs w:val="44"/>
          <w:lang w:val="en-US" w:eastAsia="zh-CN"/>
        </w:rPr>
        <w:t>6</w:t>
      </w:r>
      <w:r>
        <w:rPr>
          <w:rFonts w:hint="eastAsia" w:ascii="Arial" w:hAnsi="Arial" w:eastAsia="方正小标宋简体" w:cs="Arial"/>
          <w:sz w:val="44"/>
          <w:szCs w:val="44"/>
        </w:rPr>
        <w:t>年部门预算</w:t>
      </w:r>
    </w:p>
    <w:p w14:paraId="7995448A">
      <w:pPr>
        <w:jc w:val="left"/>
      </w:pPr>
      <w:r>
        <w:tab/>
      </w:r>
      <w:r>
        <w:tab/>
      </w:r>
      <w:r>
        <w:tab/>
      </w:r>
      <w:r>
        <w:tab/>
      </w:r>
      <w:r>
        <w:tab/>
      </w:r>
      <w:r>
        <w:tab/>
      </w:r>
    </w:p>
    <w:p w14:paraId="05FB59EB">
      <w:pPr>
        <w:jc w:val="left"/>
      </w:pPr>
    </w:p>
    <w:p w14:paraId="30B0F5A5">
      <w:pPr>
        <w:jc w:val="left"/>
      </w:pPr>
    </w:p>
    <w:p w14:paraId="3F720803">
      <w:pPr>
        <w:jc w:val="left"/>
      </w:pPr>
    </w:p>
    <w:p w14:paraId="4F4F0AFB">
      <w:pPr>
        <w:jc w:val="left"/>
      </w:pPr>
    </w:p>
    <w:p w14:paraId="382CF05B">
      <w:pPr>
        <w:jc w:val="left"/>
      </w:pPr>
      <w:r>
        <w:tab/>
      </w:r>
      <w:r>
        <w:tab/>
      </w:r>
      <w:r>
        <w:tab/>
      </w:r>
      <w:r>
        <w:tab/>
      </w:r>
      <w:r>
        <w:tab/>
      </w:r>
      <w:r>
        <w:tab/>
      </w:r>
    </w:p>
    <w:p w14:paraId="5809AB46">
      <w:pPr>
        <w:jc w:val="left"/>
      </w:pPr>
    </w:p>
    <w:p w14:paraId="7FF25078">
      <w:pPr>
        <w:jc w:val="left"/>
      </w:pPr>
    </w:p>
    <w:p w14:paraId="0A34C064">
      <w:pPr>
        <w:jc w:val="left"/>
      </w:pPr>
    </w:p>
    <w:p w14:paraId="3C1014BF">
      <w:pPr>
        <w:jc w:val="center"/>
        <w:rPr>
          <w:rFonts w:eastAsia="华文细黑"/>
        </w:rPr>
      </w:pPr>
      <w:r>
        <w:rPr>
          <w:rFonts w:hint="eastAsia" w:ascii="仿宋" w:hAnsi="仿宋" w:eastAsia="仿宋"/>
        </w:rPr>
        <w:t>二〇二</w:t>
      </w:r>
      <w:r>
        <w:rPr>
          <w:rFonts w:hint="eastAsia" w:ascii="仿宋" w:hAnsi="仿宋" w:eastAsia="仿宋"/>
          <w:lang w:eastAsia="zh-CN"/>
        </w:rPr>
        <w:t>六</w:t>
      </w:r>
      <w:r>
        <w:rPr>
          <w:rFonts w:hint="eastAsia" w:ascii="仿宋" w:hAnsi="仿宋" w:eastAsia="仿宋"/>
        </w:rPr>
        <w:t>年</w:t>
      </w:r>
      <w:r>
        <w:rPr>
          <w:rFonts w:hint="eastAsia" w:ascii="仿宋" w:hAnsi="仿宋" w:eastAsia="仿宋"/>
          <w:lang w:val="en-US" w:eastAsia="zh-CN"/>
        </w:rPr>
        <w:t>五</w:t>
      </w:r>
      <w:r>
        <w:rPr>
          <w:rFonts w:hint="eastAsia" w:ascii="仿宋" w:hAnsi="仿宋" w:eastAsia="仿宋"/>
        </w:rPr>
        <w:t>月</w:t>
      </w:r>
      <w:r>
        <w:rPr>
          <w:rFonts w:hint="eastAsia" w:ascii="仿宋" w:hAnsi="仿宋" w:eastAsia="仿宋"/>
          <w:lang w:eastAsia="zh-CN"/>
        </w:rPr>
        <w:t>二十</w:t>
      </w:r>
      <w:r>
        <w:rPr>
          <w:rFonts w:hint="eastAsia" w:ascii="仿宋" w:hAnsi="仿宋" w:eastAsia="仿宋"/>
        </w:rPr>
        <w:t>日</w:t>
      </w:r>
    </w:p>
    <w:p w14:paraId="42C2EB7A">
      <w:pPr>
        <w:rPr>
          <w:rFonts w:eastAsia="黑体"/>
        </w:rPr>
      </w:pPr>
      <w:r>
        <w:rPr>
          <w:rFonts w:eastAsia="黑体"/>
        </w:rPr>
        <w:br w:type="page"/>
      </w:r>
    </w:p>
    <w:p w14:paraId="1389441E">
      <w:pPr>
        <w:ind w:firstLine="640" w:firstLineChars="200"/>
        <w:rPr>
          <w:rFonts w:eastAsia="黑体"/>
        </w:rPr>
      </w:pPr>
    </w:p>
    <w:p w14:paraId="68DDB7CE">
      <w:pPr>
        <w:jc w:val="center"/>
        <w:rPr>
          <w:rFonts w:eastAsia="方正小标宋简体"/>
          <w:sz w:val="44"/>
          <w:szCs w:val="44"/>
        </w:rPr>
      </w:pPr>
      <w:r>
        <w:rPr>
          <w:rFonts w:eastAsia="方正小标宋简体"/>
          <w:sz w:val="44"/>
          <w:szCs w:val="44"/>
        </w:rPr>
        <w:t>目  录</w:t>
      </w:r>
    </w:p>
    <w:p w14:paraId="4415E619">
      <w:pPr>
        <w:rPr>
          <w:rFonts w:eastAsia="黑体"/>
        </w:rPr>
      </w:pPr>
      <w:r>
        <w:rPr>
          <w:rFonts w:eastAsia="黑体"/>
        </w:rPr>
        <w:tab/>
      </w:r>
      <w:r>
        <w:rPr>
          <w:rFonts w:eastAsia="黑体"/>
        </w:rPr>
        <w:tab/>
      </w:r>
      <w:r>
        <w:rPr>
          <w:rFonts w:eastAsia="黑体"/>
        </w:rPr>
        <w:tab/>
      </w:r>
      <w:r>
        <w:rPr>
          <w:rFonts w:eastAsia="黑体"/>
        </w:rPr>
        <w:tab/>
      </w:r>
      <w:r>
        <w:rPr>
          <w:rFonts w:eastAsia="黑体"/>
        </w:rPr>
        <w:tab/>
      </w:r>
    </w:p>
    <w:p w14:paraId="086023F0">
      <w:pPr>
        <w:rPr>
          <w:rFonts w:eastAsia="黑体"/>
        </w:rPr>
      </w:pPr>
      <w:r>
        <w:rPr>
          <w:rFonts w:eastAsia="黑体"/>
        </w:rPr>
        <w:t>第一部分  部门概况</w:t>
      </w:r>
      <w:r>
        <w:rPr>
          <w:rFonts w:eastAsia="黑体"/>
        </w:rPr>
        <w:tab/>
      </w:r>
      <w:r>
        <w:rPr>
          <w:rFonts w:eastAsia="黑体"/>
        </w:rPr>
        <w:tab/>
      </w:r>
      <w:r>
        <w:rPr>
          <w:rFonts w:eastAsia="黑体"/>
        </w:rPr>
        <w:tab/>
      </w:r>
      <w:r>
        <w:rPr>
          <w:rFonts w:eastAsia="黑体"/>
        </w:rPr>
        <w:tab/>
      </w:r>
      <w:r>
        <w:rPr>
          <w:rFonts w:eastAsia="黑体"/>
        </w:rPr>
        <w:tab/>
      </w:r>
    </w:p>
    <w:p w14:paraId="0C4D32D1">
      <w:pPr>
        <w:ind w:left="320" w:leftChars="100" w:firstLine="320" w:firstLineChars="100"/>
      </w:pPr>
      <w:r>
        <w:t>一、主要职能</w:t>
      </w:r>
    </w:p>
    <w:p w14:paraId="5429E27D">
      <w:pPr>
        <w:ind w:left="320" w:leftChars="100" w:firstLine="320" w:firstLineChars="100"/>
      </w:pPr>
      <w:r>
        <w:t>二、机构设置</w:t>
      </w:r>
    </w:p>
    <w:p w14:paraId="3DA6764D">
      <w:pPr>
        <w:rPr>
          <w:rFonts w:eastAsia="黑体"/>
        </w:rPr>
      </w:pPr>
      <w:r>
        <w:rPr>
          <w:rFonts w:eastAsia="黑体"/>
        </w:rPr>
        <w:t>第二部分  预算表格</w:t>
      </w:r>
    </w:p>
    <w:p w14:paraId="04253325">
      <w:pPr>
        <w:ind w:left="320" w:leftChars="100" w:firstLine="320" w:firstLineChars="100"/>
      </w:pPr>
      <w:r>
        <w:t>一、收支</w:t>
      </w:r>
      <w:r>
        <w:rPr>
          <w:rFonts w:hint="eastAsia"/>
        </w:rPr>
        <w:t>总</w:t>
      </w:r>
      <w:r>
        <w:t>表</w:t>
      </w:r>
    </w:p>
    <w:p w14:paraId="6C696E67">
      <w:pPr>
        <w:ind w:left="320" w:leftChars="100" w:firstLine="320" w:firstLineChars="100"/>
      </w:pPr>
      <w:r>
        <w:t>二、收入</w:t>
      </w:r>
      <w:r>
        <w:rPr>
          <w:rFonts w:hint="eastAsia"/>
        </w:rPr>
        <w:t>总</w:t>
      </w:r>
      <w:r>
        <w:t>表</w:t>
      </w:r>
    </w:p>
    <w:p w14:paraId="33DA227C">
      <w:pPr>
        <w:ind w:left="320" w:leftChars="100" w:firstLine="320" w:firstLineChars="100"/>
      </w:pPr>
      <w:r>
        <w:t>三、支出</w:t>
      </w:r>
      <w:r>
        <w:rPr>
          <w:rFonts w:hint="eastAsia"/>
        </w:rPr>
        <w:t>总</w:t>
      </w:r>
      <w:r>
        <w:t>表</w:t>
      </w:r>
    </w:p>
    <w:p w14:paraId="4C2770CF">
      <w:pPr>
        <w:ind w:left="320" w:leftChars="100" w:firstLine="320" w:firstLineChars="100"/>
      </w:pPr>
      <w:r>
        <w:t>四、财政拨款收支</w:t>
      </w:r>
      <w:r>
        <w:rPr>
          <w:rFonts w:hint="eastAsia"/>
        </w:rPr>
        <w:t>总</w:t>
      </w:r>
      <w:r>
        <w:t>表</w:t>
      </w:r>
    </w:p>
    <w:p w14:paraId="663BB8C4">
      <w:pPr>
        <w:ind w:left="320" w:leftChars="100" w:firstLine="320" w:firstLineChars="100"/>
        <w:rPr>
          <w:rFonts w:hint="eastAsia"/>
        </w:rPr>
      </w:pPr>
      <w:r>
        <w:t>五、</w:t>
      </w:r>
      <w:r>
        <w:rPr>
          <w:rFonts w:hint="eastAsia"/>
        </w:rPr>
        <w:t>一般公共预算支出表</w:t>
      </w:r>
    </w:p>
    <w:p w14:paraId="344FB1BD">
      <w:pPr>
        <w:ind w:left="320" w:leftChars="100" w:firstLine="320" w:firstLineChars="100"/>
        <w:rPr>
          <w:rFonts w:hint="eastAsia"/>
        </w:rPr>
      </w:pPr>
      <w:r>
        <w:t>六、</w:t>
      </w:r>
      <w:r>
        <w:rPr>
          <w:rFonts w:hint="eastAsia"/>
        </w:rPr>
        <w:t>一般公共预算基本支出表</w:t>
      </w:r>
    </w:p>
    <w:p w14:paraId="430CF4E5">
      <w:pPr>
        <w:ind w:left="320" w:leftChars="100" w:firstLine="320" w:firstLineChars="100"/>
      </w:pPr>
      <w:r>
        <w:t>七、一般公共预算“三公”经费支出表</w:t>
      </w:r>
    </w:p>
    <w:p w14:paraId="3028581B">
      <w:pPr>
        <w:ind w:left="320" w:leftChars="100" w:firstLine="320" w:firstLineChars="100"/>
      </w:pPr>
      <w:r>
        <w:t>八、政府性基金预算支出表</w:t>
      </w:r>
    </w:p>
    <w:p w14:paraId="09424B23">
      <w:pPr>
        <w:ind w:left="320" w:leftChars="100" w:firstLine="320" w:firstLineChars="100"/>
        <w:rPr>
          <w:rFonts w:hint="eastAsia"/>
        </w:rPr>
      </w:pPr>
      <w:r>
        <w:rPr>
          <w:rFonts w:hint="eastAsia"/>
        </w:rPr>
        <w:t>九、国有资本经营</w:t>
      </w:r>
      <w:r>
        <w:t>预算支出表</w:t>
      </w:r>
    </w:p>
    <w:p w14:paraId="2E53D8E7">
      <w:pPr>
        <w:ind w:left="320" w:leftChars="100" w:firstLine="320" w:firstLineChars="100"/>
        <w:rPr>
          <w:rFonts w:hint="eastAsia"/>
        </w:rPr>
      </w:pPr>
      <w:r>
        <w:rPr>
          <w:rFonts w:hint="eastAsia"/>
        </w:rPr>
        <w:t>十、项目支出表</w:t>
      </w:r>
    </w:p>
    <w:p w14:paraId="1E7BC7CB">
      <w:pPr>
        <w:ind w:left="320" w:leftChars="100" w:firstLine="320" w:firstLineChars="100"/>
        <w:rPr>
          <w:rFonts w:hint="eastAsia"/>
        </w:rPr>
      </w:pPr>
      <w:r>
        <w:rPr>
          <w:rFonts w:hint="eastAsia"/>
        </w:rPr>
        <w:t>十一、项目支出绩效目标表</w:t>
      </w:r>
    </w:p>
    <w:p w14:paraId="232972F9">
      <w:pPr>
        <w:rPr>
          <w:rFonts w:eastAsia="黑体"/>
        </w:rPr>
      </w:pPr>
      <w:r>
        <w:rPr>
          <w:rFonts w:eastAsia="黑体"/>
        </w:rPr>
        <w:t>第三部分  情况说明</w:t>
      </w:r>
    </w:p>
    <w:p w14:paraId="77CB2B83">
      <w:pPr>
        <w:rPr>
          <w:rFonts w:eastAsia="黑体"/>
        </w:rPr>
      </w:pPr>
      <w:r>
        <w:rPr>
          <w:rFonts w:eastAsia="黑体"/>
        </w:rPr>
        <w:t>第四部分  名词解释</w:t>
      </w:r>
    </w:p>
    <w:p w14:paraId="66271630">
      <w:pPr>
        <w:rPr>
          <w:rFonts w:eastAsia="黑体"/>
        </w:rPr>
      </w:pPr>
      <w:r>
        <w:rPr>
          <w:rFonts w:eastAsia="黑体"/>
        </w:rPr>
        <w:br w:type="page"/>
      </w:r>
    </w:p>
    <w:p w14:paraId="377433E4">
      <w:pPr>
        <w:ind w:firstLine="640" w:firstLineChars="200"/>
        <w:jc w:val="center"/>
        <w:rPr>
          <w:rFonts w:eastAsia="黑体"/>
        </w:rPr>
      </w:pPr>
      <w:r>
        <w:rPr>
          <w:rFonts w:eastAsia="黑体"/>
        </w:rPr>
        <w:t>第一部分 部门概况</w:t>
      </w:r>
    </w:p>
    <w:p w14:paraId="66840C54">
      <w:pPr>
        <w:ind w:firstLine="640" w:firstLineChars="200"/>
        <w:rPr>
          <w:rFonts w:eastAsia="楷体_GB2312"/>
        </w:rPr>
      </w:pPr>
    </w:p>
    <w:p w14:paraId="3AC71921">
      <w:pPr>
        <w:ind w:firstLine="640" w:firstLineChars="200"/>
        <w:rPr>
          <w:rFonts w:eastAsia="楷体_GB2312"/>
        </w:rPr>
      </w:pPr>
      <w:r>
        <w:rPr>
          <w:rFonts w:eastAsia="楷体_GB2312"/>
        </w:rPr>
        <w:t>一、主要职能</w:t>
      </w:r>
    </w:p>
    <w:p w14:paraId="3CB2DFB0">
      <w:pPr>
        <w:spacing w:line="560" w:lineRule="exact"/>
        <w:ind w:firstLine="660"/>
        <w:rPr>
          <w:rFonts w:hint="eastAsia" w:ascii="仿宋_GB2312"/>
          <w:szCs w:val="32"/>
        </w:rPr>
      </w:pPr>
      <w:r>
        <w:rPr>
          <w:rFonts w:hint="eastAsia" w:ascii="仿宋" w:hAnsi="仿宋" w:eastAsia="仿宋"/>
        </w:rPr>
        <w:t>负责纳入集中核算单位的预算内外经费、上级拨入的经常性经费、专项经费的核算工作；履行单位会计工作职能，统一办理</w:t>
      </w:r>
      <w:r>
        <w:rPr>
          <w:rFonts w:hint="eastAsia" w:ascii="仿宋" w:hAnsi="仿宋" w:eastAsia="仿宋"/>
          <w:lang w:eastAsia="zh-CN"/>
        </w:rPr>
        <w:t>各核算</w:t>
      </w:r>
      <w:r>
        <w:rPr>
          <w:rFonts w:hint="eastAsia" w:ascii="仿宋" w:hAnsi="仿宋" w:eastAsia="仿宋"/>
        </w:rPr>
        <w:t>单位的资金结算和会计核算；依据国家财经法律和法规，审核和监督各单位财务收支活动；按预算单位、资金性质和预算科目建立收入、支出明细账，及时反映财政性资金的收入、支出和结余情况；承办完成党工委、管委会交办的其它工作。</w:t>
      </w:r>
    </w:p>
    <w:p w14:paraId="230D2717">
      <w:pPr>
        <w:ind w:firstLine="640" w:firstLineChars="200"/>
      </w:pPr>
      <w:r>
        <w:rPr>
          <w:rFonts w:eastAsia="楷体_GB2312"/>
        </w:rPr>
        <w:t>二、机构设置</w:t>
      </w:r>
    </w:p>
    <w:p w14:paraId="07B84EE0">
      <w:pPr>
        <w:ind w:firstLine="640" w:firstLineChars="200"/>
        <w:rPr>
          <w:rFonts w:hint="eastAsia" w:ascii="仿宋" w:hAnsi="仿宋" w:eastAsia="仿宋"/>
        </w:rPr>
      </w:pPr>
      <w:r>
        <w:t>根据上述职责，</w:t>
      </w:r>
      <w:r>
        <w:rPr>
          <w:rFonts w:hint="eastAsia" w:ascii="仿宋" w:hAnsi="仿宋" w:eastAsia="仿宋"/>
          <w:u w:val="single"/>
        </w:rPr>
        <w:t>长春经济技术开发区财务结算中心（长春经济技术开发区国库集中支付中心）</w:t>
      </w:r>
      <w:r>
        <w:t>内设</w:t>
      </w:r>
      <w:r>
        <w:rPr>
          <w:rFonts w:hint="eastAsia"/>
          <w:u w:val="single"/>
        </w:rPr>
        <w:t>5</w:t>
      </w:r>
      <w:r>
        <w:t>个机构，</w:t>
      </w:r>
      <w:r>
        <w:rPr>
          <w:rFonts w:hint="eastAsia" w:ascii="仿宋" w:hAnsi="仿宋" w:eastAsia="仿宋"/>
        </w:rPr>
        <w:t>分别为会计核算一科、会计核算二科、会计核算三科、资金结算一科、资金结算二科。</w:t>
      </w:r>
    </w:p>
    <w:p w14:paraId="06C43B6C">
      <w:pPr>
        <w:pStyle w:val="51"/>
        <w:ind w:firstLine="640" w:firstLineChars="200"/>
        <w:rPr>
          <w:rFonts w:eastAsia="仿宋_GB2312"/>
        </w:rPr>
      </w:pPr>
      <w:r>
        <w:rPr>
          <w:rFonts w:eastAsia="仿宋_GB2312"/>
        </w:rPr>
        <w:t>下设</w:t>
      </w:r>
      <w:r>
        <w:rPr>
          <w:rFonts w:hint="eastAsia" w:eastAsia="仿宋_GB2312"/>
          <w:u w:val="single"/>
        </w:rPr>
        <w:t>0</w:t>
      </w:r>
      <w:r>
        <w:rPr>
          <w:rFonts w:eastAsia="仿宋_GB2312"/>
        </w:rPr>
        <w:t>家预算单位。</w:t>
      </w:r>
    </w:p>
    <w:p w14:paraId="6DF5BAC0">
      <w:pPr>
        <w:pStyle w:val="51"/>
        <w:ind w:firstLine="640" w:firstLineChars="200"/>
        <w:rPr>
          <w:rFonts w:eastAsia="楷体"/>
        </w:rPr>
      </w:pPr>
    </w:p>
    <w:p w14:paraId="5F9AA7B6">
      <w:pPr>
        <w:pStyle w:val="51"/>
        <w:ind w:firstLine="640" w:firstLineChars="200"/>
        <w:rPr>
          <w:rFonts w:eastAsia="楷体"/>
        </w:rPr>
      </w:pPr>
    </w:p>
    <w:p w14:paraId="2D8F9EB5">
      <w:pPr>
        <w:pStyle w:val="51"/>
        <w:ind w:firstLine="640" w:firstLineChars="200"/>
        <w:rPr>
          <w:rFonts w:hAnsi="楷体" w:eastAsia="楷体"/>
        </w:rPr>
      </w:pPr>
    </w:p>
    <w:p w14:paraId="1D4D2489">
      <w:pPr>
        <w:pStyle w:val="51"/>
        <w:ind w:firstLine="640" w:firstLineChars="200"/>
        <w:rPr>
          <w:rFonts w:hAnsi="楷体" w:eastAsia="楷体"/>
        </w:rPr>
      </w:pPr>
    </w:p>
    <w:p w14:paraId="41C2B7D1">
      <w:pPr>
        <w:pStyle w:val="51"/>
        <w:ind w:firstLine="640" w:firstLineChars="200"/>
        <w:rPr>
          <w:rFonts w:hAnsi="楷体" w:eastAsia="楷体"/>
        </w:rPr>
      </w:pPr>
    </w:p>
    <w:p w14:paraId="44570B93">
      <w:pPr>
        <w:ind w:firstLine="640" w:firstLineChars="200"/>
        <w:jc w:val="center"/>
        <w:rPr>
          <w:rFonts w:eastAsia="黑体"/>
        </w:rPr>
      </w:pPr>
    </w:p>
    <w:p w14:paraId="1568C89C">
      <w:pPr>
        <w:ind w:firstLine="640" w:firstLineChars="200"/>
        <w:jc w:val="center"/>
        <w:rPr>
          <w:rFonts w:eastAsia="黑体"/>
        </w:rPr>
      </w:pPr>
      <w:r>
        <w:rPr>
          <w:rFonts w:eastAsia="黑体"/>
        </w:rPr>
        <w:t>第二部分 预算表格</w:t>
      </w:r>
    </w:p>
    <w:p w14:paraId="6B65B47E">
      <w:pPr>
        <w:jc w:val="both"/>
        <w:rPr>
          <w:rFonts w:eastAsia="楷体_GB2312"/>
        </w:rPr>
      </w:pPr>
      <w:r>
        <w:drawing>
          <wp:inline distT="0" distB="0" distL="114300" distR="114300">
            <wp:extent cx="5527675" cy="6696710"/>
            <wp:effectExtent l="0" t="0" r="15875" b="8890"/>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8"/>
                    <a:stretch>
                      <a:fillRect/>
                    </a:stretch>
                  </pic:blipFill>
                  <pic:spPr>
                    <a:xfrm>
                      <a:off x="0" y="0"/>
                      <a:ext cx="5527675" cy="6696710"/>
                    </a:xfrm>
                    <a:prstGeom prst="rect">
                      <a:avLst/>
                    </a:prstGeom>
                    <a:noFill/>
                    <a:ln w="9525">
                      <a:noFill/>
                    </a:ln>
                  </pic:spPr>
                </pic:pic>
              </a:graphicData>
            </a:graphic>
          </wp:inline>
        </w:drawing>
      </w:r>
    </w:p>
    <w:p w14:paraId="6122251B">
      <w:pPr>
        <w:rPr>
          <w:rFonts w:hAnsi="楷体" w:eastAsia="楷体"/>
        </w:rPr>
      </w:pPr>
    </w:p>
    <w:p w14:paraId="1AB21F83">
      <w:pPr>
        <w:ind w:firstLine="640" w:firstLineChars="200"/>
        <w:rPr>
          <w:rFonts w:eastAsia="楷体"/>
        </w:rPr>
      </w:pPr>
      <w:r>
        <w:rPr>
          <w:rFonts w:hAnsi="楷体" w:eastAsia="楷体"/>
        </w:rPr>
        <w:t>注：按照《批复》中的预算表</w:t>
      </w:r>
      <w:r>
        <w:rPr>
          <w:rFonts w:eastAsia="楷体"/>
        </w:rPr>
        <w:t>1</w:t>
      </w:r>
      <w:r>
        <w:rPr>
          <w:rFonts w:hAnsi="楷体" w:eastAsia="楷体"/>
        </w:rPr>
        <w:t>（</w:t>
      </w:r>
      <w:r>
        <w:rPr>
          <w:rFonts w:eastAsia="楷体"/>
        </w:rPr>
        <w:t>20</w:t>
      </w:r>
      <w:r>
        <w:rPr>
          <w:rFonts w:hint="eastAsia" w:eastAsia="楷体"/>
        </w:rPr>
        <w:t>2</w:t>
      </w:r>
      <w:r>
        <w:rPr>
          <w:rFonts w:hint="eastAsia" w:eastAsia="楷体"/>
          <w:lang w:val="en-US" w:eastAsia="zh-CN"/>
        </w:rPr>
        <w:t>6</w:t>
      </w:r>
      <w:r>
        <w:rPr>
          <w:rFonts w:hAnsi="楷体" w:eastAsia="楷体"/>
        </w:rPr>
        <w:t>年收支总表）填列</w:t>
      </w:r>
      <w:r>
        <w:rPr>
          <w:rFonts w:hint="eastAsia" w:hAnsi="楷体" w:eastAsia="楷体"/>
          <w:lang w:eastAsia="zh-CN"/>
        </w:rPr>
        <w:t>。</w:t>
      </w:r>
      <w:r>
        <w:rPr>
          <w:rFonts w:hAnsi="楷体" w:eastAsia="楷体"/>
        </w:rPr>
        <w:br w:type="page"/>
      </w:r>
    </w:p>
    <w:p w14:paraId="5B337475">
      <w:pPr>
        <w:jc w:val="center"/>
      </w:pPr>
    </w:p>
    <w:p w14:paraId="3CAD9EB1">
      <w:pPr>
        <w:jc w:val="center"/>
      </w:pPr>
      <w:r>
        <w:drawing>
          <wp:inline distT="0" distB="0" distL="114300" distR="114300">
            <wp:extent cx="5655310" cy="1838960"/>
            <wp:effectExtent l="0" t="0" r="2540" b="8890"/>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9"/>
                    <a:stretch>
                      <a:fillRect/>
                    </a:stretch>
                  </pic:blipFill>
                  <pic:spPr>
                    <a:xfrm>
                      <a:off x="0" y="0"/>
                      <a:ext cx="5655310" cy="1838960"/>
                    </a:xfrm>
                    <a:prstGeom prst="rect">
                      <a:avLst/>
                    </a:prstGeom>
                    <a:noFill/>
                    <a:ln w="9525">
                      <a:noFill/>
                    </a:ln>
                  </pic:spPr>
                </pic:pic>
              </a:graphicData>
            </a:graphic>
          </wp:inline>
        </w:drawing>
      </w:r>
    </w:p>
    <w:p w14:paraId="2285D8E3">
      <w:pPr>
        <w:ind w:firstLine="640" w:firstLineChars="200"/>
        <w:rPr>
          <w:rFonts w:hAnsi="楷体" w:eastAsia="楷体"/>
        </w:rPr>
      </w:pPr>
    </w:p>
    <w:p w14:paraId="345A85FE">
      <w:pPr>
        <w:ind w:firstLine="640" w:firstLineChars="200"/>
        <w:rPr>
          <w:rFonts w:hAnsi="楷体" w:eastAsia="楷体"/>
        </w:rPr>
      </w:pPr>
      <w:r>
        <w:rPr>
          <w:rFonts w:hAnsi="楷体" w:eastAsia="楷体"/>
        </w:rPr>
        <w:t>注：按照《批复》中的预算表</w:t>
      </w:r>
      <w:r>
        <w:rPr>
          <w:rFonts w:eastAsia="楷体"/>
        </w:rPr>
        <w:t>2</w:t>
      </w:r>
      <w:r>
        <w:rPr>
          <w:rFonts w:hAnsi="楷体" w:eastAsia="楷体"/>
        </w:rPr>
        <w:t>（</w:t>
      </w:r>
      <w:r>
        <w:rPr>
          <w:rFonts w:eastAsia="楷体"/>
        </w:rPr>
        <w:t>20</w:t>
      </w:r>
      <w:r>
        <w:rPr>
          <w:rFonts w:hint="eastAsia" w:eastAsia="楷体"/>
        </w:rPr>
        <w:t>2</w:t>
      </w:r>
      <w:r>
        <w:rPr>
          <w:rFonts w:hint="eastAsia" w:eastAsia="楷体"/>
          <w:lang w:val="en-US" w:eastAsia="zh-CN"/>
        </w:rPr>
        <w:t>6</w:t>
      </w:r>
      <w:r>
        <w:rPr>
          <w:rFonts w:hAnsi="楷体" w:eastAsia="楷体"/>
        </w:rPr>
        <w:t>年收入总表）填列。</w:t>
      </w:r>
    </w:p>
    <w:p w14:paraId="7F06A252">
      <w:pPr>
        <w:ind w:firstLine="640" w:firstLineChars="200"/>
        <w:rPr>
          <w:rFonts w:eastAsia="楷体"/>
        </w:rPr>
      </w:pPr>
      <w:r>
        <w:rPr>
          <w:rFonts w:hAnsi="楷体" w:eastAsia="楷体"/>
        </w:rPr>
        <w:br w:type="page"/>
      </w:r>
    </w:p>
    <w:p w14:paraId="4DC306C0">
      <w:pPr>
        <w:jc w:val="center"/>
      </w:pPr>
      <w:r>
        <w:drawing>
          <wp:inline distT="0" distB="0" distL="114300" distR="114300">
            <wp:extent cx="5704840" cy="4871085"/>
            <wp:effectExtent l="0" t="0" r="10160" b="571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5704840" cy="4871085"/>
                    </a:xfrm>
                    <a:prstGeom prst="rect">
                      <a:avLst/>
                    </a:prstGeom>
                    <a:noFill/>
                    <a:ln w="9525">
                      <a:noFill/>
                    </a:ln>
                  </pic:spPr>
                </pic:pic>
              </a:graphicData>
            </a:graphic>
          </wp:inline>
        </w:drawing>
      </w:r>
    </w:p>
    <w:p w14:paraId="2433EC88">
      <w:pPr>
        <w:ind w:firstLine="640" w:firstLineChars="200"/>
        <w:rPr>
          <w:rFonts w:hAnsi="楷体" w:eastAsia="楷体"/>
        </w:rPr>
      </w:pPr>
      <w:r>
        <w:rPr>
          <w:rFonts w:hAnsi="楷体" w:eastAsia="楷体"/>
        </w:rPr>
        <w:t>注：按照《批复》中的预算表</w:t>
      </w:r>
      <w:r>
        <w:rPr>
          <w:rFonts w:eastAsia="楷体"/>
        </w:rPr>
        <w:t>3</w:t>
      </w:r>
      <w:r>
        <w:rPr>
          <w:rFonts w:hAnsi="楷体" w:eastAsia="楷体"/>
        </w:rPr>
        <w:t>（</w:t>
      </w:r>
      <w:r>
        <w:rPr>
          <w:rFonts w:eastAsia="楷体"/>
        </w:rPr>
        <w:t>20</w:t>
      </w:r>
      <w:r>
        <w:rPr>
          <w:rFonts w:hint="eastAsia" w:eastAsia="楷体"/>
        </w:rPr>
        <w:t>2</w:t>
      </w:r>
      <w:r>
        <w:rPr>
          <w:rFonts w:hint="eastAsia" w:eastAsia="楷体"/>
          <w:lang w:val="en-US" w:eastAsia="zh-CN"/>
        </w:rPr>
        <w:t>6</w:t>
      </w:r>
      <w:r>
        <w:rPr>
          <w:rFonts w:hAnsi="楷体" w:eastAsia="楷体"/>
        </w:rPr>
        <w:t>年支出总表）填列，功能科目填列至项级。</w:t>
      </w:r>
    </w:p>
    <w:p w14:paraId="139D03C0"/>
    <w:p w14:paraId="447C95DC">
      <w:r>
        <w:drawing>
          <wp:inline distT="0" distB="0" distL="114300" distR="114300">
            <wp:extent cx="5524500" cy="7004685"/>
            <wp:effectExtent l="0" t="0" r="0" b="5715"/>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1"/>
                    <a:stretch>
                      <a:fillRect/>
                    </a:stretch>
                  </pic:blipFill>
                  <pic:spPr>
                    <a:xfrm>
                      <a:off x="0" y="0"/>
                      <a:ext cx="5524500" cy="7004685"/>
                    </a:xfrm>
                    <a:prstGeom prst="rect">
                      <a:avLst/>
                    </a:prstGeom>
                    <a:noFill/>
                    <a:ln w="9525">
                      <a:noFill/>
                    </a:ln>
                  </pic:spPr>
                </pic:pic>
              </a:graphicData>
            </a:graphic>
          </wp:inline>
        </w:drawing>
      </w:r>
    </w:p>
    <w:p w14:paraId="229977EA">
      <w:pPr>
        <w:ind w:firstLine="640" w:firstLineChars="200"/>
        <w:rPr>
          <w:rFonts w:hAnsi="楷体" w:eastAsia="楷体"/>
        </w:rPr>
      </w:pPr>
      <w:r>
        <w:rPr>
          <w:rFonts w:hAnsi="楷体" w:eastAsia="楷体"/>
        </w:rPr>
        <w:t>注：按照《批复》中的预算表</w:t>
      </w:r>
      <w:r>
        <w:rPr>
          <w:rFonts w:eastAsia="楷体"/>
        </w:rPr>
        <w:t>4</w:t>
      </w:r>
      <w:r>
        <w:rPr>
          <w:rFonts w:hAnsi="楷体" w:eastAsia="楷体"/>
        </w:rPr>
        <w:t>（</w:t>
      </w:r>
      <w:r>
        <w:rPr>
          <w:rFonts w:eastAsia="楷体"/>
        </w:rPr>
        <w:t>20</w:t>
      </w:r>
      <w:r>
        <w:rPr>
          <w:rFonts w:hint="eastAsia" w:eastAsia="楷体"/>
        </w:rPr>
        <w:t>2</w:t>
      </w:r>
      <w:r>
        <w:rPr>
          <w:rFonts w:hint="eastAsia" w:eastAsia="楷体"/>
          <w:lang w:val="en-US" w:eastAsia="zh-CN"/>
        </w:rPr>
        <w:t>6</w:t>
      </w:r>
      <w:r>
        <w:rPr>
          <w:rFonts w:hAnsi="楷体" w:eastAsia="楷体"/>
        </w:rPr>
        <w:t>年财政拨款收支总表）填列。</w:t>
      </w:r>
    </w:p>
    <w:p w14:paraId="3B01F1A0">
      <w:pPr>
        <w:ind w:firstLine="640" w:firstLineChars="200"/>
      </w:pPr>
      <w:r>
        <w:rPr>
          <w:rFonts w:hAnsi="楷体" w:eastAsia="楷体"/>
        </w:rPr>
        <w:br w:type="page"/>
      </w:r>
    </w:p>
    <w:p w14:paraId="16FF1A4B">
      <w:pPr>
        <w:jc w:val="center"/>
        <w:rPr>
          <w:rFonts w:eastAsia="楷体"/>
        </w:rPr>
      </w:pPr>
      <w:r>
        <w:drawing>
          <wp:inline distT="0" distB="0" distL="114300" distR="114300">
            <wp:extent cx="5621020" cy="6534150"/>
            <wp:effectExtent l="0" t="0" r="1778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2"/>
                    <a:stretch>
                      <a:fillRect/>
                    </a:stretch>
                  </pic:blipFill>
                  <pic:spPr>
                    <a:xfrm>
                      <a:off x="0" y="0"/>
                      <a:ext cx="5621020" cy="6534150"/>
                    </a:xfrm>
                    <a:prstGeom prst="rect">
                      <a:avLst/>
                    </a:prstGeom>
                    <a:noFill/>
                    <a:ln w="9525">
                      <a:noFill/>
                    </a:ln>
                  </pic:spPr>
                </pic:pic>
              </a:graphicData>
            </a:graphic>
          </wp:inline>
        </w:drawing>
      </w:r>
    </w:p>
    <w:p w14:paraId="75C29374">
      <w:pPr>
        <w:ind w:firstLine="640" w:firstLineChars="200"/>
        <w:rPr>
          <w:rFonts w:eastAsia="楷体"/>
        </w:rPr>
      </w:pPr>
    </w:p>
    <w:p w14:paraId="287BA23A">
      <w:pPr>
        <w:ind w:firstLine="640" w:firstLineChars="200"/>
        <w:rPr>
          <w:rFonts w:hAnsi="楷体" w:eastAsia="楷体"/>
        </w:rPr>
      </w:pPr>
      <w:r>
        <w:rPr>
          <w:rFonts w:hAnsi="楷体" w:eastAsia="楷体"/>
        </w:rPr>
        <w:t>注：按照《批复》中的预算表</w:t>
      </w:r>
      <w:r>
        <w:rPr>
          <w:rFonts w:eastAsia="楷体"/>
        </w:rPr>
        <w:t>5</w:t>
      </w:r>
      <w:r>
        <w:rPr>
          <w:rFonts w:hAnsi="楷体" w:eastAsia="楷体"/>
        </w:rPr>
        <w:t>（</w:t>
      </w:r>
      <w:r>
        <w:rPr>
          <w:rFonts w:hint="eastAsia" w:eastAsia="楷体"/>
        </w:rPr>
        <w:t>202</w:t>
      </w:r>
      <w:r>
        <w:rPr>
          <w:rFonts w:hint="eastAsia" w:eastAsia="楷体"/>
          <w:lang w:val="en-US" w:eastAsia="zh-CN"/>
        </w:rPr>
        <w:t>6</w:t>
      </w:r>
      <w:r>
        <w:rPr>
          <w:rFonts w:hint="eastAsia" w:eastAsia="楷体"/>
        </w:rPr>
        <w:t>年一般公共预算支出表</w:t>
      </w:r>
      <w:r>
        <w:rPr>
          <w:rFonts w:hAnsi="楷体" w:eastAsia="楷体"/>
        </w:rPr>
        <w:t>）填列。功能科目填列至项级。没有一般公共预算拨款的，公开空表，不得删除。</w:t>
      </w:r>
    </w:p>
    <w:p w14:paraId="21888817">
      <w:pPr>
        <w:ind w:firstLine="640" w:firstLineChars="200"/>
        <w:rPr>
          <w:sz w:val="16"/>
          <w:szCs w:val="16"/>
        </w:rPr>
      </w:pPr>
      <w:r>
        <w:rPr>
          <w:rFonts w:hAnsi="楷体" w:eastAsia="楷体"/>
        </w:rPr>
        <w:br w:type="page"/>
      </w:r>
      <w:r>
        <w:drawing>
          <wp:inline distT="0" distB="0" distL="114300" distR="114300">
            <wp:extent cx="5171440" cy="8260080"/>
            <wp:effectExtent l="0" t="0" r="10160" b="762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3"/>
                    <a:stretch>
                      <a:fillRect/>
                    </a:stretch>
                  </pic:blipFill>
                  <pic:spPr>
                    <a:xfrm>
                      <a:off x="0" y="0"/>
                      <a:ext cx="5171440" cy="8260080"/>
                    </a:xfrm>
                    <a:prstGeom prst="rect">
                      <a:avLst/>
                    </a:prstGeom>
                    <a:noFill/>
                    <a:ln w="9525">
                      <a:noFill/>
                    </a:ln>
                  </pic:spPr>
                </pic:pic>
              </a:graphicData>
            </a:graphic>
          </wp:inline>
        </w:drawing>
      </w:r>
    </w:p>
    <w:p w14:paraId="09546E91">
      <w:pPr>
        <w:widowControl/>
        <w:ind w:left="0" w:leftChars="0" w:firstLine="640" w:firstLineChars="200"/>
        <w:jc w:val="left"/>
        <w:rPr>
          <w:rFonts w:hAnsi="楷体" w:eastAsia="楷体"/>
        </w:rPr>
      </w:pPr>
    </w:p>
    <w:p w14:paraId="033F5B4D">
      <w:pPr>
        <w:widowControl/>
        <w:jc w:val="center"/>
      </w:pPr>
      <w:r>
        <w:drawing>
          <wp:inline distT="0" distB="0" distL="114300" distR="114300">
            <wp:extent cx="5371465" cy="4210685"/>
            <wp:effectExtent l="0" t="0" r="635" b="18415"/>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14"/>
                    <a:stretch>
                      <a:fillRect/>
                    </a:stretch>
                  </pic:blipFill>
                  <pic:spPr>
                    <a:xfrm>
                      <a:off x="0" y="0"/>
                      <a:ext cx="5371465" cy="4210685"/>
                    </a:xfrm>
                    <a:prstGeom prst="rect">
                      <a:avLst/>
                    </a:prstGeom>
                    <a:noFill/>
                    <a:ln w="9525">
                      <a:noFill/>
                    </a:ln>
                  </pic:spPr>
                </pic:pic>
              </a:graphicData>
            </a:graphic>
          </wp:inline>
        </w:drawing>
      </w:r>
    </w:p>
    <w:p w14:paraId="774256DF">
      <w:pPr>
        <w:widowControl/>
        <w:ind w:firstLine="640" w:firstLineChars="200"/>
        <w:jc w:val="both"/>
        <w:rPr>
          <w:rFonts w:hAnsi="楷体" w:eastAsia="楷体"/>
        </w:rPr>
      </w:pPr>
    </w:p>
    <w:p w14:paraId="050F6EA7">
      <w:pPr>
        <w:widowControl/>
        <w:ind w:firstLine="640" w:firstLineChars="200"/>
        <w:jc w:val="both"/>
        <w:rPr>
          <w:rFonts w:hAnsi="楷体" w:eastAsia="楷体"/>
        </w:rPr>
      </w:pPr>
      <w:r>
        <w:rPr>
          <w:rFonts w:hAnsi="楷体" w:eastAsia="楷体"/>
        </w:rPr>
        <w:t>注：按照《批复》中的预算</w:t>
      </w:r>
      <w:r>
        <w:rPr>
          <w:rFonts w:hint="eastAsia" w:hAnsi="楷体" w:eastAsia="楷体"/>
        </w:rPr>
        <w:t>表6</w:t>
      </w:r>
      <w:r>
        <w:rPr>
          <w:rFonts w:hAnsi="楷体" w:eastAsia="楷体"/>
        </w:rPr>
        <w:t>（</w:t>
      </w:r>
      <w:r>
        <w:rPr>
          <w:rFonts w:hint="eastAsia" w:eastAsia="楷体"/>
        </w:rPr>
        <w:t>202</w:t>
      </w:r>
      <w:r>
        <w:rPr>
          <w:rFonts w:hint="eastAsia" w:eastAsia="楷体"/>
          <w:lang w:val="en-US" w:eastAsia="zh-CN"/>
        </w:rPr>
        <w:t>6</w:t>
      </w:r>
      <w:r>
        <w:rPr>
          <w:rFonts w:hint="eastAsia" w:eastAsia="楷体"/>
        </w:rPr>
        <w:t>年一般公共预算基本支出表</w:t>
      </w:r>
      <w:r>
        <w:rPr>
          <w:rFonts w:hAnsi="楷体" w:eastAsia="楷体"/>
        </w:rPr>
        <w:t>）填列。</w:t>
      </w:r>
      <w:r>
        <w:rPr>
          <w:rFonts w:hint="eastAsia" w:hAnsi="楷体" w:eastAsia="楷体"/>
        </w:rPr>
        <w:t>经济科目填列至款级。</w:t>
      </w:r>
      <w:r>
        <w:rPr>
          <w:rFonts w:hAnsi="楷体" w:eastAsia="楷体"/>
        </w:rPr>
        <w:t>没有一般公共预算拨款的，公开空表，不得删除。</w:t>
      </w:r>
    </w:p>
    <w:p w14:paraId="548701A3">
      <w:pPr>
        <w:ind w:firstLine="636"/>
        <w:rPr>
          <w:rFonts w:eastAsia="楷体"/>
        </w:rPr>
      </w:pPr>
      <w:r>
        <w:rPr>
          <w:rFonts w:hAnsi="楷体" w:eastAsia="楷体"/>
        </w:rPr>
        <w:br w:type="page"/>
      </w:r>
    </w:p>
    <w:p w14:paraId="737ABECA">
      <w:pPr>
        <w:widowControl/>
        <w:ind w:left="320" w:hanging="320" w:hangingChars="100"/>
        <w:jc w:val="center"/>
      </w:pPr>
      <w:r>
        <w:drawing>
          <wp:inline distT="0" distB="0" distL="114300" distR="114300">
            <wp:extent cx="5768340" cy="1180465"/>
            <wp:effectExtent l="0" t="0" r="3810" b="635"/>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pic:cNvPicPr>
                  </pic:nvPicPr>
                  <pic:blipFill>
                    <a:blip r:embed="rId15"/>
                    <a:stretch>
                      <a:fillRect/>
                    </a:stretch>
                  </pic:blipFill>
                  <pic:spPr>
                    <a:xfrm>
                      <a:off x="0" y="0"/>
                      <a:ext cx="5768340" cy="1180465"/>
                    </a:xfrm>
                    <a:prstGeom prst="rect">
                      <a:avLst/>
                    </a:prstGeom>
                    <a:noFill/>
                    <a:ln w="9525">
                      <a:noFill/>
                    </a:ln>
                  </pic:spPr>
                </pic:pic>
              </a:graphicData>
            </a:graphic>
          </wp:inline>
        </w:drawing>
      </w:r>
    </w:p>
    <w:p w14:paraId="039CA8D1">
      <w:pPr>
        <w:keepNext w:val="0"/>
        <w:keepLines w:val="0"/>
        <w:pageBreakBefore w:val="0"/>
        <w:widowControl/>
        <w:kinsoku/>
        <w:wordWrap/>
        <w:overflowPunct/>
        <w:topLinePunct w:val="0"/>
        <w:autoSpaceDE/>
        <w:autoSpaceDN/>
        <w:bidi w:val="0"/>
        <w:adjustRightInd/>
        <w:snapToGrid/>
        <w:spacing w:line="120" w:lineRule="auto"/>
        <w:ind w:firstLine="560" w:firstLineChars="200"/>
        <w:jc w:val="left"/>
        <w:textAlignment w:val="auto"/>
        <w:rPr>
          <w:rFonts w:hint="eastAsia" w:eastAsia="宋体"/>
          <w:color w:val="000000"/>
          <w:kern w:val="0"/>
          <w:sz w:val="28"/>
          <w:szCs w:val="28"/>
          <w:lang w:val="en-US" w:eastAsia="zh-CN"/>
        </w:rPr>
      </w:pPr>
      <w:r>
        <w:rPr>
          <w:color w:val="000000"/>
          <w:kern w:val="0"/>
          <w:sz w:val="28"/>
          <w:szCs w:val="28"/>
        </w:rPr>
        <w:t>说明：</w:t>
      </w:r>
      <w:r>
        <w:rPr>
          <w:color w:val="000000"/>
          <w:kern w:val="0"/>
          <w:sz w:val="28"/>
          <w:szCs w:val="28"/>
        </w:rPr>
        <w:br w:type="textWrapping"/>
      </w:r>
      <w:r>
        <w:rPr>
          <w:rFonts w:eastAsia="宋体"/>
          <w:color w:val="000000"/>
          <w:kern w:val="0"/>
          <w:sz w:val="28"/>
          <w:szCs w:val="28"/>
        </w:rPr>
        <w:t xml:space="preserve">     </w:t>
      </w:r>
      <w:r>
        <w:rPr>
          <w:rFonts w:hint="eastAsia" w:eastAsia="宋体"/>
          <w:color w:val="000000"/>
          <w:kern w:val="0"/>
          <w:sz w:val="28"/>
          <w:szCs w:val="28"/>
          <w:lang w:val="en-US" w:eastAsia="zh-CN"/>
        </w:rPr>
        <w:t xml:space="preserve"> </w:t>
      </w:r>
      <w:r>
        <w:rPr>
          <w:rFonts w:eastAsia="宋体"/>
          <w:color w:val="000000"/>
          <w:kern w:val="0"/>
          <w:sz w:val="28"/>
          <w:szCs w:val="28"/>
        </w:rPr>
        <w:t>1</w:t>
      </w:r>
      <w:r>
        <w:rPr>
          <w:color w:val="000000"/>
          <w:kern w:val="0"/>
          <w:sz w:val="28"/>
          <w:szCs w:val="28"/>
        </w:rPr>
        <w:t>、</w:t>
      </w:r>
      <w:r>
        <w:rPr>
          <w:rFonts w:eastAsia="宋体"/>
          <w:color w:val="000000"/>
          <w:kern w:val="0"/>
          <w:sz w:val="28"/>
          <w:szCs w:val="28"/>
        </w:rPr>
        <w:t>“20</w:t>
      </w:r>
      <w:r>
        <w:rPr>
          <w:rFonts w:hint="eastAsia" w:eastAsia="宋体"/>
          <w:color w:val="000000"/>
          <w:kern w:val="0"/>
          <w:sz w:val="28"/>
          <w:szCs w:val="28"/>
        </w:rPr>
        <w:t>2</w:t>
      </w:r>
      <w:r>
        <w:rPr>
          <w:rFonts w:hint="eastAsia" w:eastAsia="宋体"/>
          <w:color w:val="000000"/>
          <w:kern w:val="0"/>
          <w:sz w:val="28"/>
          <w:szCs w:val="28"/>
          <w:lang w:val="en-US" w:eastAsia="zh-CN"/>
        </w:rPr>
        <w:t>6</w:t>
      </w:r>
      <w:r>
        <w:rPr>
          <w:color w:val="000000"/>
          <w:kern w:val="0"/>
          <w:sz w:val="28"/>
          <w:szCs w:val="28"/>
        </w:rPr>
        <w:t>年预算数</w:t>
      </w:r>
      <w:r>
        <w:rPr>
          <w:rFonts w:eastAsia="宋体"/>
          <w:color w:val="000000"/>
          <w:kern w:val="0"/>
          <w:sz w:val="28"/>
          <w:szCs w:val="28"/>
        </w:rPr>
        <w:t>”</w:t>
      </w:r>
      <w:r>
        <w:rPr>
          <w:color w:val="000000"/>
          <w:kern w:val="0"/>
          <w:sz w:val="28"/>
          <w:szCs w:val="28"/>
        </w:rPr>
        <w:t>的单位范围包括部门本级及所属</w:t>
      </w:r>
      <w:r>
        <w:rPr>
          <w:rFonts w:eastAsia="宋体"/>
          <w:color w:val="000000"/>
          <w:kern w:val="0"/>
          <w:sz w:val="28"/>
          <w:szCs w:val="28"/>
          <w:u w:val="single"/>
        </w:rPr>
        <w:t xml:space="preserve"> </w:t>
      </w:r>
      <w:r>
        <w:rPr>
          <w:rFonts w:hint="eastAsia" w:eastAsia="宋体"/>
          <w:color w:val="000000"/>
          <w:kern w:val="0"/>
          <w:sz w:val="28"/>
          <w:szCs w:val="28"/>
          <w:u w:val="single"/>
        </w:rPr>
        <w:t>1</w:t>
      </w:r>
      <w:r>
        <w:rPr>
          <w:rFonts w:eastAsia="宋体"/>
          <w:color w:val="000000"/>
          <w:kern w:val="0"/>
          <w:sz w:val="28"/>
          <w:szCs w:val="28"/>
          <w:u w:val="single"/>
        </w:rPr>
        <w:t xml:space="preserve"> </w:t>
      </w:r>
      <w:r>
        <w:rPr>
          <w:color w:val="000000"/>
          <w:kern w:val="0"/>
          <w:sz w:val="28"/>
          <w:szCs w:val="28"/>
        </w:rPr>
        <w:t>个预算单位。</w:t>
      </w:r>
      <w:r>
        <w:rPr>
          <w:rFonts w:eastAsia="宋体"/>
          <w:color w:val="000000"/>
          <w:kern w:val="0"/>
          <w:sz w:val="28"/>
          <w:szCs w:val="28"/>
        </w:rPr>
        <w:t xml:space="preserve"> </w:t>
      </w:r>
      <w:r>
        <w:rPr>
          <w:rFonts w:hint="eastAsia" w:eastAsia="宋体"/>
          <w:color w:val="000000"/>
          <w:kern w:val="0"/>
          <w:sz w:val="28"/>
          <w:szCs w:val="28"/>
          <w:lang w:val="en-US" w:eastAsia="zh-CN"/>
        </w:rPr>
        <w:t xml:space="preserve"> </w:t>
      </w:r>
    </w:p>
    <w:p w14:paraId="207CAFC7">
      <w:pPr>
        <w:keepNext w:val="0"/>
        <w:keepLines w:val="0"/>
        <w:pageBreakBefore w:val="0"/>
        <w:widowControl/>
        <w:numPr>
          <w:ilvl w:val="0"/>
          <w:numId w:val="0"/>
        </w:numPr>
        <w:kinsoku/>
        <w:wordWrap/>
        <w:overflowPunct/>
        <w:topLinePunct w:val="0"/>
        <w:autoSpaceDE/>
        <w:autoSpaceDN/>
        <w:bidi w:val="0"/>
        <w:adjustRightInd/>
        <w:snapToGrid/>
        <w:spacing w:line="120" w:lineRule="auto"/>
        <w:ind w:firstLine="840" w:firstLineChars="300"/>
        <w:jc w:val="left"/>
        <w:textAlignment w:val="auto"/>
        <w:rPr>
          <w:color w:val="000000"/>
          <w:kern w:val="0"/>
          <w:sz w:val="28"/>
          <w:szCs w:val="28"/>
        </w:rPr>
      </w:pPr>
      <w:r>
        <w:rPr>
          <w:rFonts w:hint="eastAsia" w:eastAsia="宋体"/>
          <w:color w:val="000000"/>
          <w:kern w:val="0"/>
          <w:sz w:val="28"/>
          <w:szCs w:val="28"/>
          <w:lang w:val="en-US" w:eastAsia="zh-CN"/>
        </w:rPr>
        <w:t>2、</w:t>
      </w:r>
      <w:r>
        <w:rPr>
          <w:rFonts w:eastAsia="宋体"/>
          <w:color w:val="000000"/>
          <w:kern w:val="0"/>
          <w:sz w:val="28"/>
          <w:szCs w:val="28"/>
        </w:rPr>
        <w:t>“20</w:t>
      </w:r>
      <w:r>
        <w:rPr>
          <w:rFonts w:hint="eastAsia" w:eastAsia="宋体"/>
          <w:color w:val="000000"/>
          <w:kern w:val="0"/>
          <w:sz w:val="28"/>
          <w:szCs w:val="28"/>
        </w:rPr>
        <w:t>2</w:t>
      </w:r>
      <w:r>
        <w:rPr>
          <w:rFonts w:hint="eastAsia" w:eastAsia="宋体"/>
          <w:color w:val="000000"/>
          <w:kern w:val="0"/>
          <w:sz w:val="28"/>
          <w:szCs w:val="28"/>
          <w:lang w:val="en-US" w:eastAsia="zh-CN"/>
        </w:rPr>
        <w:t>6</w:t>
      </w:r>
      <w:r>
        <w:rPr>
          <w:color w:val="000000"/>
          <w:kern w:val="0"/>
          <w:sz w:val="28"/>
          <w:szCs w:val="28"/>
        </w:rPr>
        <w:t>年预算数</w:t>
      </w:r>
      <w:r>
        <w:rPr>
          <w:rFonts w:eastAsia="宋体"/>
          <w:color w:val="000000"/>
          <w:kern w:val="0"/>
          <w:sz w:val="28"/>
          <w:szCs w:val="28"/>
        </w:rPr>
        <w:t>”</w:t>
      </w:r>
      <w:r>
        <w:rPr>
          <w:color w:val="000000"/>
          <w:kern w:val="0"/>
          <w:sz w:val="28"/>
          <w:szCs w:val="28"/>
        </w:rPr>
        <w:t>的实有人员</w:t>
      </w:r>
      <w:r>
        <w:rPr>
          <w:rFonts w:hint="eastAsia" w:eastAsia="宋体"/>
          <w:color w:val="000000"/>
          <w:kern w:val="0"/>
          <w:sz w:val="28"/>
          <w:szCs w:val="28"/>
          <w:u w:val="single"/>
        </w:rPr>
        <w:t>2</w:t>
      </w:r>
      <w:r>
        <w:rPr>
          <w:rFonts w:hint="eastAsia" w:eastAsia="宋体"/>
          <w:color w:val="000000"/>
          <w:kern w:val="0"/>
          <w:sz w:val="28"/>
          <w:szCs w:val="28"/>
          <w:u w:val="single"/>
          <w:lang w:val="en-US" w:eastAsia="zh-CN"/>
        </w:rPr>
        <w:t>6</w:t>
      </w:r>
      <w:r>
        <w:rPr>
          <w:color w:val="000000"/>
          <w:kern w:val="0"/>
          <w:sz w:val="28"/>
          <w:szCs w:val="28"/>
        </w:rPr>
        <w:t>人，其中：在职人员</w:t>
      </w:r>
      <w:r>
        <w:rPr>
          <w:rFonts w:hint="eastAsia" w:eastAsia="宋体"/>
          <w:color w:val="0000FF"/>
          <w:kern w:val="0"/>
          <w:sz w:val="28"/>
          <w:szCs w:val="28"/>
          <w:u w:val="single"/>
        </w:rPr>
        <w:t>1</w:t>
      </w:r>
      <w:r>
        <w:rPr>
          <w:rFonts w:hint="eastAsia" w:eastAsia="宋体"/>
          <w:color w:val="0000FF"/>
          <w:kern w:val="0"/>
          <w:sz w:val="28"/>
          <w:szCs w:val="28"/>
          <w:u w:val="single"/>
          <w:lang w:val="en-US" w:eastAsia="zh-CN"/>
        </w:rPr>
        <w:t>7</w:t>
      </w:r>
      <w:r>
        <w:rPr>
          <w:color w:val="0000FF"/>
          <w:kern w:val="0"/>
          <w:sz w:val="28"/>
          <w:szCs w:val="28"/>
        </w:rPr>
        <w:t>人</w:t>
      </w:r>
      <w:r>
        <w:rPr>
          <w:color w:val="000000"/>
          <w:kern w:val="0"/>
          <w:sz w:val="28"/>
          <w:szCs w:val="28"/>
        </w:rPr>
        <w:t>，离退休人员</w:t>
      </w:r>
      <w:r>
        <w:rPr>
          <w:rFonts w:hint="eastAsia" w:eastAsia="宋体"/>
          <w:color w:val="000000"/>
          <w:kern w:val="0"/>
          <w:sz w:val="28"/>
          <w:szCs w:val="28"/>
          <w:u w:val="single"/>
          <w:lang w:val="en-US" w:eastAsia="zh-CN"/>
        </w:rPr>
        <w:t>9</w:t>
      </w:r>
      <w:r>
        <w:rPr>
          <w:color w:val="000000"/>
          <w:kern w:val="0"/>
          <w:sz w:val="28"/>
          <w:szCs w:val="28"/>
        </w:rPr>
        <w:t>人。</w:t>
      </w:r>
    </w:p>
    <w:p w14:paraId="0F36D4BD">
      <w:pPr>
        <w:numPr>
          <w:ilvl w:val="0"/>
          <w:numId w:val="0"/>
        </w:numPr>
        <w:ind w:firstLine="640" w:firstLineChars="200"/>
        <w:rPr>
          <w:rFonts w:hAnsi="楷体" w:eastAsia="楷体"/>
        </w:rPr>
      </w:pPr>
      <w:r>
        <w:rPr>
          <w:rFonts w:hAnsi="楷体" w:eastAsia="楷体"/>
        </w:rPr>
        <w:t>注：按照《批复》预算表</w:t>
      </w:r>
      <w:r>
        <w:rPr>
          <w:rFonts w:hint="eastAsia" w:eastAsia="楷体"/>
        </w:rPr>
        <w:t>7</w:t>
      </w:r>
      <w:r>
        <w:rPr>
          <w:rFonts w:hAnsi="楷体" w:eastAsia="楷体"/>
        </w:rPr>
        <w:t>（</w:t>
      </w:r>
      <w:r>
        <w:rPr>
          <w:rFonts w:eastAsia="楷体"/>
        </w:rPr>
        <w:t>20</w:t>
      </w:r>
      <w:r>
        <w:rPr>
          <w:rFonts w:hint="eastAsia" w:eastAsia="楷体"/>
        </w:rPr>
        <w:t>2</w:t>
      </w:r>
      <w:r>
        <w:rPr>
          <w:rFonts w:hint="eastAsia" w:eastAsia="楷体"/>
          <w:lang w:val="en-US" w:eastAsia="zh-CN"/>
        </w:rPr>
        <w:t>6</w:t>
      </w:r>
      <w:r>
        <w:rPr>
          <w:rFonts w:hAnsi="楷体" w:eastAsia="楷体"/>
        </w:rPr>
        <w:t>年</w:t>
      </w:r>
      <w:r>
        <w:rPr>
          <w:rFonts w:hint="eastAsia" w:hAnsi="楷体" w:eastAsia="楷体"/>
        </w:rPr>
        <w:t>一般公共预算</w:t>
      </w:r>
      <w:r>
        <w:rPr>
          <w:rFonts w:eastAsia="楷体"/>
        </w:rPr>
        <w:t>“</w:t>
      </w:r>
      <w:r>
        <w:rPr>
          <w:rFonts w:hAnsi="楷体" w:eastAsia="楷体"/>
        </w:rPr>
        <w:t>三公</w:t>
      </w:r>
      <w:r>
        <w:rPr>
          <w:rFonts w:eastAsia="楷体"/>
        </w:rPr>
        <w:t>”</w:t>
      </w:r>
      <w:r>
        <w:rPr>
          <w:rFonts w:hAnsi="楷体" w:eastAsia="楷体"/>
        </w:rPr>
        <w:t>经费支出表）填列</w:t>
      </w:r>
      <w:r>
        <w:rPr>
          <w:rFonts w:hint="eastAsia" w:hAnsi="楷体" w:eastAsia="楷体"/>
          <w:lang w:eastAsia="zh-CN"/>
        </w:rPr>
        <w:t>，</w:t>
      </w:r>
      <w:r>
        <w:rPr>
          <w:rFonts w:hAnsi="楷体" w:eastAsia="楷体"/>
        </w:rPr>
        <w:t>本部门</w:t>
      </w:r>
      <w:r>
        <w:rPr>
          <w:rFonts w:hint="eastAsia" w:hAnsi="楷体" w:eastAsia="楷体"/>
          <w:lang w:val="en-US" w:eastAsia="zh-CN"/>
        </w:rPr>
        <w:t>本年无三公经费</w:t>
      </w:r>
      <w:r>
        <w:rPr>
          <w:rFonts w:hAnsi="楷体" w:eastAsia="楷体"/>
        </w:rPr>
        <w:t>预算。没有一般公共预算拨款的，公开空表，不得删除。</w:t>
      </w:r>
    </w:p>
    <w:p w14:paraId="4440FEDF">
      <w:pPr>
        <w:rPr>
          <w:rFonts w:eastAsia="楷体"/>
          <w:kern w:val="0"/>
          <w:szCs w:val="32"/>
        </w:rPr>
      </w:pPr>
      <w:r>
        <w:rPr>
          <w:rFonts w:hAnsi="楷体" w:eastAsia="楷体"/>
        </w:rPr>
        <w:br w:type="page"/>
      </w:r>
      <w:r>
        <w:drawing>
          <wp:inline distT="0" distB="0" distL="114300" distR="114300">
            <wp:extent cx="5615305" cy="2258060"/>
            <wp:effectExtent l="0" t="0" r="4445" b="8890"/>
            <wp:docPr id="3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
                    <pic:cNvPicPr>
                      <a:picLocks noChangeAspect="1"/>
                    </pic:cNvPicPr>
                  </pic:nvPicPr>
                  <pic:blipFill>
                    <a:blip r:embed="rId16"/>
                    <a:stretch>
                      <a:fillRect/>
                    </a:stretch>
                  </pic:blipFill>
                  <pic:spPr>
                    <a:xfrm>
                      <a:off x="0" y="0"/>
                      <a:ext cx="5615305" cy="2258060"/>
                    </a:xfrm>
                    <a:prstGeom prst="rect">
                      <a:avLst/>
                    </a:prstGeom>
                    <a:noFill/>
                    <a:ln w="9525">
                      <a:noFill/>
                    </a:ln>
                  </pic:spPr>
                </pic:pic>
              </a:graphicData>
            </a:graphic>
          </wp:inline>
        </w:drawing>
      </w:r>
      <w:r>
        <w:rPr>
          <w:rFonts w:eastAsia="楷体"/>
          <w:kern w:val="0"/>
          <w:szCs w:val="32"/>
        </w:rPr>
        <w:t xml:space="preserve">    </w:t>
      </w:r>
    </w:p>
    <w:p w14:paraId="09D4E23E">
      <w:pPr>
        <w:ind w:firstLine="640" w:firstLineChars="200"/>
        <w:rPr>
          <w:rFonts w:eastAsia="楷体"/>
          <w:kern w:val="0"/>
          <w:szCs w:val="32"/>
        </w:rPr>
      </w:pPr>
      <w:r>
        <w:rPr>
          <w:rFonts w:eastAsia="楷体"/>
          <w:kern w:val="0"/>
          <w:szCs w:val="32"/>
        </w:rPr>
        <w:t>注：按照《批复》中的预算</w:t>
      </w:r>
      <w:r>
        <w:rPr>
          <w:rFonts w:hint="eastAsia" w:eastAsia="楷体"/>
          <w:kern w:val="0"/>
          <w:szCs w:val="32"/>
        </w:rPr>
        <w:t>表8</w:t>
      </w:r>
      <w:r>
        <w:rPr>
          <w:rFonts w:eastAsia="楷体"/>
          <w:kern w:val="0"/>
          <w:szCs w:val="32"/>
        </w:rPr>
        <w:t>（20</w:t>
      </w:r>
      <w:r>
        <w:rPr>
          <w:rFonts w:hint="eastAsia" w:eastAsia="楷体"/>
          <w:kern w:val="0"/>
          <w:szCs w:val="32"/>
        </w:rPr>
        <w:t>2</w:t>
      </w:r>
      <w:r>
        <w:rPr>
          <w:rFonts w:hint="eastAsia" w:eastAsia="楷体"/>
          <w:kern w:val="0"/>
          <w:szCs w:val="32"/>
          <w:lang w:val="en-US" w:eastAsia="zh-CN"/>
        </w:rPr>
        <w:t>6</w:t>
      </w:r>
      <w:r>
        <w:rPr>
          <w:rFonts w:eastAsia="楷体"/>
          <w:kern w:val="0"/>
          <w:szCs w:val="32"/>
        </w:rPr>
        <w:t>年政府性基金预算支出表）填列，功能科目列至项级。本部门无政府性基金预算拨款</w:t>
      </w:r>
      <w:r>
        <w:rPr>
          <w:rFonts w:hint="eastAsia" w:eastAsia="楷体"/>
          <w:kern w:val="0"/>
          <w:szCs w:val="32"/>
          <w:lang w:eastAsia="zh-CN"/>
        </w:rPr>
        <w:t>。</w:t>
      </w:r>
      <w:r>
        <w:rPr>
          <w:rFonts w:eastAsia="楷体"/>
          <w:kern w:val="0"/>
          <w:szCs w:val="32"/>
        </w:rPr>
        <w:t>没有政府性基金预算拨款的，公开空表，不得删除。</w:t>
      </w:r>
    </w:p>
    <w:p w14:paraId="1B648536">
      <w:pPr>
        <w:spacing w:line="700" w:lineRule="exact"/>
        <w:ind w:firstLine="640" w:firstLineChars="200"/>
        <w:rPr>
          <w:rFonts w:eastAsia="楷体"/>
          <w:kern w:val="0"/>
          <w:szCs w:val="32"/>
        </w:rPr>
      </w:pPr>
    </w:p>
    <w:p w14:paraId="3B0EA95F">
      <w:pPr>
        <w:spacing w:line="700" w:lineRule="exact"/>
        <w:ind w:firstLine="640" w:firstLineChars="200"/>
        <w:rPr>
          <w:rFonts w:eastAsia="楷体"/>
          <w:kern w:val="0"/>
          <w:szCs w:val="32"/>
        </w:rPr>
      </w:pPr>
    </w:p>
    <w:p w14:paraId="2307A184">
      <w:pPr>
        <w:ind w:firstLine="640" w:firstLineChars="200"/>
        <w:rPr>
          <w:rFonts w:eastAsia="楷体"/>
          <w:kern w:val="0"/>
          <w:szCs w:val="32"/>
        </w:rPr>
      </w:pPr>
      <w:r>
        <w:rPr>
          <w:rFonts w:eastAsia="楷体"/>
          <w:kern w:val="0"/>
          <w:szCs w:val="32"/>
        </w:rPr>
        <w:t xml:space="preserve"> </w:t>
      </w:r>
    </w:p>
    <w:p w14:paraId="5DB3E388">
      <w:pPr>
        <w:spacing w:line="700" w:lineRule="exact"/>
        <w:rPr>
          <w:rFonts w:eastAsia="楷体_GB2312"/>
          <w:kern w:val="0"/>
          <w:szCs w:val="32"/>
        </w:rPr>
      </w:pPr>
      <w:r>
        <w:rPr>
          <w:rFonts w:eastAsia="楷体_GB2312"/>
          <w:kern w:val="0"/>
          <w:szCs w:val="32"/>
        </w:rPr>
        <w:t xml:space="preserve">   </w:t>
      </w:r>
    </w:p>
    <w:p w14:paraId="074FD7F0">
      <w:pPr>
        <w:spacing w:line="700" w:lineRule="exact"/>
        <w:rPr>
          <w:rFonts w:eastAsia="楷体_GB2312"/>
          <w:kern w:val="0"/>
          <w:szCs w:val="32"/>
        </w:rPr>
      </w:pPr>
    </w:p>
    <w:p w14:paraId="2B99D2BD">
      <w:pPr>
        <w:spacing w:line="700" w:lineRule="exact"/>
        <w:rPr>
          <w:rFonts w:eastAsia="楷体_GB2312"/>
          <w:kern w:val="0"/>
          <w:szCs w:val="32"/>
        </w:rPr>
      </w:pPr>
    </w:p>
    <w:p w14:paraId="2360187E">
      <w:pPr>
        <w:spacing w:line="700" w:lineRule="exact"/>
      </w:pP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552"/>
        <w:gridCol w:w="2267"/>
        <w:gridCol w:w="2269"/>
        <w:gridCol w:w="1701"/>
      </w:tblGrid>
      <w:tr w14:paraId="30487249">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vAlign w:val="center"/>
          </w:tcPr>
          <w:p w14:paraId="2F604385">
            <w:pPr>
              <w:widowControl/>
              <w:jc w:val="center"/>
              <w:rPr>
                <w:rFonts w:eastAsia="方正小标宋简体"/>
                <w:kern w:val="0"/>
                <w:sz w:val="28"/>
                <w:szCs w:val="28"/>
              </w:rPr>
            </w:pPr>
            <w:r>
              <w:rPr>
                <w:rFonts w:hint="eastAsia" w:eastAsia="方正小标宋简体"/>
                <w:kern w:val="0"/>
                <w:sz w:val="28"/>
                <w:szCs w:val="28"/>
              </w:rPr>
              <w:t>国有资本经营</w:t>
            </w:r>
            <w:r>
              <w:rPr>
                <w:rFonts w:eastAsia="方正小标宋简体"/>
                <w:kern w:val="0"/>
                <w:sz w:val="28"/>
                <w:szCs w:val="28"/>
              </w:rPr>
              <w:t>预算支出表</w:t>
            </w:r>
            <w:r>
              <w:rPr>
                <w:rFonts w:hint="eastAsia" w:eastAsia="方正小标宋简体"/>
                <w:kern w:val="0"/>
                <w:sz w:val="28"/>
                <w:szCs w:val="28"/>
              </w:rPr>
              <w:t>（预算附表6)</w:t>
            </w:r>
          </w:p>
          <w:p w14:paraId="2C430946">
            <w:pPr>
              <w:widowControl/>
              <w:rPr>
                <w:rFonts w:hint="default" w:eastAsia="华文细黑"/>
                <w:color w:val="000000"/>
                <w:kern w:val="0"/>
                <w:sz w:val="16"/>
                <w:szCs w:val="16"/>
                <w:lang w:val="en-US" w:eastAsia="zh-CN"/>
              </w:rPr>
            </w:pPr>
            <w:r>
              <w:rPr>
                <w:rFonts w:hint="eastAsia" w:eastAsia="华文细黑"/>
                <w:color w:val="000000"/>
                <w:kern w:val="0"/>
                <w:sz w:val="16"/>
                <w:szCs w:val="16"/>
                <w:lang w:val="en-US" w:eastAsia="zh-CN"/>
              </w:rPr>
              <w:t xml:space="preserve">  </w:t>
            </w:r>
          </w:p>
          <w:p w14:paraId="2585B3C5">
            <w:pPr>
              <w:widowControl/>
              <w:ind w:left="7840" w:hanging="7840" w:hangingChars="4900"/>
              <w:jc w:val="left"/>
              <w:rPr>
                <w:rFonts w:eastAsia="华文细黑"/>
                <w:color w:val="000000"/>
                <w:kern w:val="0"/>
                <w:sz w:val="20"/>
              </w:rPr>
            </w:pPr>
            <w:r>
              <w:rPr>
                <w:rFonts w:hint="eastAsia" w:asciiTheme="majorEastAsia" w:hAnsiTheme="majorEastAsia" w:eastAsiaTheme="majorEastAsia" w:cstheme="majorEastAsia"/>
                <w:color w:val="000000"/>
                <w:kern w:val="0"/>
                <w:sz w:val="16"/>
                <w:szCs w:val="16"/>
              </w:rPr>
              <w:t xml:space="preserve">预算单位：长春经济技术开发区财务结算中心长春经济技术开发区国库集中支付中心） </w:t>
            </w:r>
            <w:r>
              <w:rPr>
                <w:rFonts w:hint="eastAsia" w:asciiTheme="majorEastAsia" w:hAnsiTheme="majorEastAsia" w:eastAsiaTheme="majorEastAsia" w:cstheme="majorEastAsia"/>
                <w:color w:val="000000"/>
                <w:kern w:val="0"/>
                <w:sz w:val="20"/>
              </w:rPr>
              <w:t xml:space="preserve">               </w:t>
            </w:r>
            <w:r>
              <w:rPr>
                <w:rFonts w:hint="eastAsia" w:asciiTheme="majorEastAsia" w:hAnsiTheme="majorEastAsia" w:eastAsiaTheme="majorEastAsia" w:cstheme="majorEastAsia"/>
                <w:color w:val="000000"/>
                <w:kern w:val="0"/>
                <w:sz w:val="16"/>
                <w:szCs w:val="16"/>
              </w:rPr>
              <w:t xml:space="preserve"> </w:t>
            </w:r>
            <w:r>
              <w:rPr>
                <w:rFonts w:hint="eastAsia" w:asciiTheme="majorEastAsia" w:hAnsiTheme="majorEastAsia" w:eastAsiaTheme="majorEastAsia" w:cstheme="majorEastAsia"/>
                <w:color w:val="000000"/>
                <w:kern w:val="0"/>
                <w:sz w:val="16"/>
                <w:szCs w:val="16"/>
                <w:lang w:val="en-US" w:eastAsia="zh-CN"/>
              </w:rPr>
              <w:t xml:space="preserve">  </w:t>
            </w:r>
            <w:r>
              <w:rPr>
                <w:rFonts w:hint="eastAsia" w:asciiTheme="majorEastAsia" w:hAnsiTheme="majorEastAsia" w:eastAsiaTheme="majorEastAsia" w:cstheme="majorEastAsia"/>
                <w:color w:val="000000"/>
                <w:kern w:val="0"/>
                <w:sz w:val="16"/>
                <w:szCs w:val="16"/>
              </w:rPr>
              <w:t>单位：万元</w:t>
            </w:r>
          </w:p>
        </w:tc>
      </w:tr>
      <w:tr w14:paraId="39FD6A28">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vAlign w:val="center"/>
          </w:tcPr>
          <w:p w14:paraId="640DB31D">
            <w:pPr>
              <w:widowControl/>
              <w:jc w:val="center"/>
              <w:rPr>
                <w:rFonts w:hint="eastAsia" w:asciiTheme="majorEastAsia" w:hAnsiTheme="majorEastAsia" w:eastAsiaTheme="majorEastAsia" w:cstheme="majorEastAsia"/>
                <w:color w:val="000000"/>
                <w:kern w:val="0"/>
                <w:sz w:val="20"/>
              </w:rPr>
            </w:pPr>
            <w:r>
              <w:rPr>
                <w:rFonts w:hint="eastAsia" w:asciiTheme="majorEastAsia" w:hAnsiTheme="majorEastAsia" w:eastAsiaTheme="majorEastAsia" w:cstheme="majorEastAsia"/>
                <w:color w:val="000000"/>
                <w:kern w:val="0"/>
                <w:sz w:val="20"/>
              </w:rPr>
              <w:t>功能分类</w:t>
            </w:r>
          </w:p>
          <w:p w14:paraId="448BD0A9">
            <w:pPr>
              <w:widowControl/>
              <w:jc w:val="center"/>
              <w:rPr>
                <w:rFonts w:eastAsia="华文细黑"/>
                <w:color w:val="000000"/>
                <w:kern w:val="0"/>
                <w:sz w:val="20"/>
              </w:rPr>
            </w:pPr>
            <w:r>
              <w:rPr>
                <w:rFonts w:hint="eastAsia" w:asciiTheme="majorEastAsia" w:hAnsiTheme="majorEastAsia" w:eastAsiaTheme="majorEastAsia" w:cstheme="majorEastAsia"/>
                <w:color w:val="000000"/>
                <w:kern w:val="0"/>
                <w:sz w:val="20"/>
              </w:rPr>
              <w:t>科目名称</w:t>
            </w:r>
          </w:p>
        </w:tc>
        <w:tc>
          <w:tcPr>
            <w:tcW w:w="2267" w:type="dxa"/>
            <w:vMerge w:val="restart"/>
            <w:tcBorders>
              <w:left w:val="single" w:color="000000" w:sz="4" w:space="0"/>
              <w:bottom w:val="single" w:color="000000" w:sz="4" w:space="0"/>
              <w:right w:val="single" w:color="000000" w:sz="4" w:space="0"/>
            </w:tcBorders>
            <w:vAlign w:val="center"/>
          </w:tcPr>
          <w:p w14:paraId="66E0F282">
            <w:pPr>
              <w:widowControl/>
              <w:jc w:val="center"/>
              <w:rPr>
                <w:rFonts w:eastAsia="华文细黑"/>
                <w:color w:val="000000"/>
                <w:kern w:val="0"/>
                <w:sz w:val="20"/>
              </w:rPr>
            </w:pPr>
            <w:r>
              <w:rPr>
                <w:rFonts w:hint="eastAsia" w:asciiTheme="majorEastAsia" w:hAnsiTheme="majorEastAsia" w:eastAsiaTheme="majorEastAsia" w:cstheme="majorEastAsia"/>
                <w:color w:val="000000"/>
                <w:kern w:val="0"/>
                <w:sz w:val="20"/>
              </w:rPr>
              <w:t>合计</w:t>
            </w:r>
          </w:p>
        </w:tc>
        <w:tc>
          <w:tcPr>
            <w:tcW w:w="2269" w:type="dxa"/>
            <w:vMerge w:val="restart"/>
            <w:tcBorders>
              <w:top w:val="single" w:color="000000" w:sz="4" w:space="0"/>
              <w:left w:val="single" w:color="000000" w:sz="4" w:space="0"/>
              <w:bottom w:val="single" w:color="000000" w:sz="4" w:space="0"/>
              <w:right w:val="single" w:color="000000" w:sz="4" w:space="0"/>
            </w:tcBorders>
            <w:vAlign w:val="center"/>
          </w:tcPr>
          <w:p w14:paraId="7C4DFBCA">
            <w:pPr>
              <w:widowControl/>
              <w:jc w:val="center"/>
              <w:rPr>
                <w:rFonts w:eastAsia="华文细黑"/>
                <w:color w:val="000000"/>
                <w:kern w:val="0"/>
                <w:sz w:val="20"/>
              </w:rPr>
            </w:pPr>
            <w:r>
              <w:rPr>
                <w:rFonts w:hint="eastAsia" w:asciiTheme="majorEastAsia" w:hAnsiTheme="majorEastAsia" w:eastAsiaTheme="majorEastAsia" w:cstheme="majorEastAsia"/>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vAlign w:val="center"/>
          </w:tcPr>
          <w:p w14:paraId="5F697816">
            <w:pPr>
              <w:widowControl/>
              <w:jc w:val="center"/>
              <w:rPr>
                <w:rFonts w:eastAsia="华文细黑"/>
                <w:color w:val="000000"/>
                <w:kern w:val="0"/>
                <w:sz w:val="20"/>
              </w:rPr>
            </w:pPr>
            <w:r>
              <w:rPr>
                <w:rFonts w:hint="eastAsia" w:asciiTheme="majorEastAsia" w:hAnsiTheme="majorEastAsia" w:eastAsiaTheme="majorEastAsia" w:cstheme="majorEastAsia"/>
                <w:color w:val="000000"/>
                <w:kern w:val="0"/>
                <w:sz w:val="20"/>
              </w:rPr>
              <w:t>项目支出</w:t>
            </w:r>
          </w:p>
        </w:tc>
      </w:tr>
      <w:tr w14:paraId="6B8CA0FF">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vAlign w:val="center"/>
          </w:tcPr>
          <w:p w14:paraId="0A81FA03">
            <w:pPr>
              <w:widowControl/>
              <w:jc w:val="left"/>
              <w:rPr>
                <w:rFonts w:eastAsia="华文细黑"/>
                <w:color w:val="000000"/>
                <w:kern w:val="0"/>
                <w:sz w:val="20"/>
              </w:rPr>
            </w:pPr>
          </w:p>
        </w:tc>
        <w:tc>
          <w:tcPr>
            <w:tcW w:w="2267" w:type="dxa"/>
            <w:vMerge w:val="continue"/>
            <w:tcBorders>
              <w:left w:val="single" w:color="000000" w:sz="4" w:space="0"/>
              <w:bottom w:val="single" w:color="000000" w:sz="4" w:space="0"/>
              <w:right w:val="single" w:color="000000" w:sz="4" w:space="0"/>
            </w:tcBorders>
            <w:vAlign w:val="center"/>
          </w:tcPr>
          <w:p w14:paraId="2B514D73">
            <w:pPr>
              <w:widowControl/>
              <w:jc w:val="left"/>
              <w:rPr>
                <w:rFonts w:eastAsia="华文细黑"/>
                <w:color w:val="000000"/>
                <w:kern w:val="0"/>
                <w:sz w:val="20"/>
              </w:rPr>
            </w:pPr>
          </w:p>
        </w:tc>
        <w:tc>
          <w:tcPr>
            <w:tcW w:w="2269" w:type="dxa"/>
            <w:vMerge w:val="continue"/>
            <w:tcBorders>
              <w:top w:val="single" w:color="000000" w:sz="4" w:space="0"/>
              <w:left w:val="single" w:color="000000" w:sz="4" w:space="0"/>
              <w:bottom w:val="single" w:color="000000" w:sz="4" w:space="0"/>
              <w:right w:val="single" w:color="000000" w:sz="4" w:space="0"/>
            </w:tcBorders>
            <w:vAlign w:val="center"/>
          </w:tcPr>
          <w:p w14:paraId="484C336F">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vAlign w:val="center"/>
          </w:tcPr>
          <w:p w14:paraId="3436D5A0">
            <w:pPr>
              <w:widowControl/>
              <w:jc w:val="left"/>
              <w:rPr>
                <w:rFonts w:eastAsia="华文细黑"/>
                <w:color w:val="000000"/>
                <w:kern w:val="0"/>
                <w:sz w:val="20"/>
              </w:rPr>
            </w:pPr>
          </w:p>
        </w:tc>
      </w:tr>
      <w:tr w14:paraId="344721C7">
        <w:tblPrEx>
          <w:tblCellMar>
            <w:top w:w="15" w:type="dxa"/>
            <w:left w:w="15" w:type="dxa"/>
            <w:bottom w:w="15" w:type="dxa"/>
            <w:right w:w="15" w:type="dxa"/>
          </w:tblCellMar>
        </w:tblPrEx>
        <w:trPr>
          <w:trHeight w:val="375" w:hRule="atLeast"/>
        </w:trPr>
        <w:tc>
          <w:tcPr>
            <w:tcW w:w="2552" w:type="dxa"/>
            <w:tcBorders>
              <w:left w:val="single" w:color="000000" w:sz="4" w:space="0"/>
              <w:bottom w:val="single" w:color="000000" w:sz="4" w:space="0"/>
              <w:right w:val="single" w:color="000000" w:sz="4" w:space="0"/>
            </w:tcBorders>
            <w:shd w:val="clear" w:color="000000" w:fill="FFFFFF"/>
            <w:vAlign w:val="center"/>
          </w:tcPr>
          <w:p w14:paraId="7110C299">
            <w:pPr>
              <w:widowControl/>
              <w:jc w:val="center"/>
              <w:rPr>
                <w:rFonts w:eastAsia="华文细黑"/>
                <w:color w:val="000000"/>
                <w:kern w:val="0"/>
                <w:sz w:val="20"/>
              </w:rPr>
            </w:pPr>
          </w:p>
        </w:tc>
        <w:tc>
          <w:tcPr>
            <w:tcW w:w="2267" w:type="dxa"/>
            <w:tcBorders>
              <w:left w:val="single" w:color="000000" w:sz="4" w:space="0"/>
              <w:bottom w:val="single" w:color="000000" w:sz="4" w:space="0"/>
              <w:right w:val="single" w:color="000000" w:sz="4" w:space="0"/>
            </w:tcBorders>
            <w:shd w:val="clear" w:color="000000" w:fill="FFFFFF"/>
            <w:vAlign w:val="center"/>
          </w:tcPr>
          <w:p w14:paraId="45CF394B">
            <w:pPr>
              <w:widowControl/>
              <w:jc w:val="center"/>
              <w:rPr>
                <w:rFonts w:eastAsia="华文细黑"/>
                <w:color w:val="000000"/>
                <w:kern w:val="0"/>
                <w:sz w:val="20"/>
              </w:rPr>
            </w:pPr>
          </w:p>
        </w:tc>
        <w:tc>
          <w:tcPr>
            <w:tcW w:w="226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0D2C6CC">
            <w:pPr>
              <w:widowControl/>
              <w:jc w:val="center"/>
              <w:rPr>
                <w:rFonts w:eastAsia="华文细黑"/>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2D1D576">
            <w:pPr>
              <w:widowControl/>
              <w:jc w:val="center"/>
              <w:rPr>
                <w:rFonts w:eastAsia="华文细黑"/>
                <w:color w:val="000000"/>
                <w:kern w:val="0"/>
                <w:sz w:val="20"/>
              </w:rPr>
            </w:pPr>
          </w:p>
        </w:tc>
      </w:tr>
      <w:tr w14:paraId="3DCBFBC4">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5B8AE779">
            <w:pPr>
              <w:widowControl/>
              <w:jc w:val="left"/>
              <w:rPr>
                <w:rFonts w:eastAsia="华文细黑"/>
                <w:color w:val="000000"/>
                <w:kern w:val="0"/>
                <w:sz w:val="20"/>
              </w:rPr>
            </w:pPr>
          </w:p>
        </w:tc>
        <w:tc>
          <w:tcPr>
            <w:tcW w:w="2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F394A62">
            <w:pPr>
              <w:widowControl/>
              <w:jc w:val="right"/>
              <w:rPr>
                <w:rFonts w:eastAsia="宋体"/>
                <w:color w:val="000000"/>
                <w:kern w:val="0"/>
                <w:sz w:val="20"/>
              </w:rPr>
            </w:pPr>
          </w:p>
        </w:tc>
        <w:tc>
          <w:tcPr>
            <w:tcW w:w="226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5CB045C">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95180E6">
            <w:pPr>
              <w:widowControl/>
              <w:jc w:val="right"/>
              <w:rPr>
                <w:rFonts w:eastAsia="宋体"/>
                <w:color w:val="000000"/>
                <w:kern w:val="0"/>
                <w:sz w:val="20"/>
              </w:rPr>
            </w:pPr>
          </w:p>
        </w:tc>
      </w:tr>
      <w:tr w14:paraId="5D8A684D">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4F2F8879">
            <w:pPr>
              <w:widowControl/>
              <w:jc w:val="left"/>
              <w:rPr>
                <w:rFonts w:eastAsia="华文细黑"/>
                <w:color w:val="000000"/>
                <w:kern w:val="0"/>
                <w:sz w:val="20"/>
              </w:rPr>
            </w:pPr>
          </w:p>
        </w:tc>
        <w:tc>
          <w:tcPr>
            <w:tcW w:w="2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58B8D46">
            <w:pPr>
              <w:widowControl/>
              <w:jc w:val="right"/>
              <w:rPr>
                <w:rFonts w:eastAsia="宋体"/>
                <w:color w:val="000000"/>
                <w:kern w:val="0"/>
                <w:sz w:val="20"/>
              </w:rPr>
            </w:pPr>
          </w:p>
        </w:tc>
        <w:tc>
          <w:tcPr>
            <w:tcW w:w="226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70D5CD6">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3C6D6DD">
            <w:pPr>
              <w:widowControl/>
              <w:jc w:val="right"/>
              <w:rPr>
                <w:rFonts w:eastAsia="宋体"/>
                <w:color w:val="000000"/>
                <w:kern w:val="0"/>
                <w:sz w:val="20"/>
              </w:rPr>
            </w:pPr>
          </w:p>
        </w:tc>
      </w:tr>
      <w:tr w14:paraId="5A0FDC9A">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5940AD0A">
            <w:pPr>
              <w:widowControl/>
              <w:jc w:val="left"/>
              <w:rPr>
                <w:rFonts w:eastAsia="宋体"/>
                <w:color w:val="000000"/>
                <w:kern w:val="0"/>
                <w:sz w:val="20"/>
              </w:rPr>
            </w:pPr>
          </w:p>
        </w:tc>
        <w:tc>
          <w:tcPr>
            <w:tcW w:w="2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094B9A7">
            <w:pPr>
              <w:widowControl/>
              <w:jc w:val="right"/>
              <w:rPr>
                <w:rFonts w:eastAsia="宋体"/>
                <w:color w:val="000000"/>
                <w:kern w:val="0"/>
                <w:sz w:val="20"/>
              </w:rPr>
            </w:pPr>
          </w:p>
        </w:tc>
        <w:tc>
          <w:tcPr>
            <w:tcW w:w="226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CC27728">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F045539">
            <w:pPr>
              <w:widowControl/>
              <w:jc w:val="right"/>
              <w:rPr>
                <w:rFonts w:eastAsia="宋体"/>
                <w:color w:val="000000"/>
                <w:kern w:val="0"/>
                <w:sz w:val="20"/>
              </w:rPr>
            </w:pPr>
          </w:p>
        </w:tc>
      </w:tr>
      <w:tr w14:paraId="4A4C379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517C89AF">
            <w:pPr>
              <w:widowControl/>
              <w:ind w:firstLine="100" w:firstLineChars="50"/>
              <w:jc w:val="left"/>
              <w:rPr>
                <w:rFonts w:eastAsia="宋体"/>
                <w:color w:val="000000"/>
                <w:kern w:val="0"/>
                <w:sz w:val="20"/>
              </w:rPr>
            </w:pPr>
          </w:p>
        </w:tc>
        <w:tc>
          <w:tcPr>
            <w:tcW w:w="2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814A0F1">
            <w:pPr>
              <w:widowControl/>
              <w:jc w:val="right"/>
              <w:rPr>
                <w:rFonts w:eastAsia="宋体"/>
                <w:color w:val="000000"/>
                <w:kern w:val="0"/>
                <w:sz w:val="20"/>
              </w:rPr>
            </w:pPr>
          </w:p>
        </w:tc>
        <w:tc>
          <w:tcPr>
            <w:tcW w:w="226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25146E8">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17101D0">
            <w:pPr>
              <w:widowControl/>
              <w:jc w:val="right"/>
              <w:rPr>
                <w:rFonts w:eastAsia="宋体"/>
                <w:color w:val="000000"/>
                <w:kern w:val="0"/>
                <w:sz w:val="20"/>
              </w:rPr>
            </w:pPr>
          </w:p>
        </w:tc>
      </w:tr>
      <w:tr w14:paraId="63DB002E">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721A7DE7">
            <w:pPr>
              <w:widowControl/>
              <w:ind w:firstLine="100" w:firstLineChars="50"/>
              <w:jc w:val="left"/>
              <w:rPr>
                <w:rFonts w:eastAsia="宋体"/>
                <w:color w:val="000000"/>
                <w:kern w:val="0"/>
                <w:sz w:val="20"/>
              </w:rPr>
            </w:pPr>
          </w:p>
        </w:tc>
        <w:tc>
          <w:tcPr>
            <w:tcW w:w="2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296801F">
            <w:pPr>
              <w:widowControl/>
              <w:jc w:val="right"/>
              <w:rPr>
                <w:rFonts w:eastAsia="宋体"/>
                <w:color w:val="000000"/>
                <w:kern w:val="0"/>
                <w:sz w:val="20"/>
              </w:rPr>
            </w:pPr>
          </w:p>
        </w:tc>
        <w:tc>
          <w:tcPr>
            <w:tcW w:w="226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7603BC5">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FD554A4">
            <w:pPr>
              <w:widowControl/>
              <w:jc w:val="right"/>
              <w:rPr>
                <w:rFonts w:eastAsia="宋体"/>
                <w:color w:val="000000"/>
                <w:kern w:val="0"/>
                <w:sz w:val="20"/>
              </w:rPr>
            </w:pPr>
          </w:p>
        </w:tc>
      </w:tr>
      <w:tr w14:paraId="7D6DBB33">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2803FB72">
            <w:pPr>
              <w:widowControl/>
              <w:jc w:val="left"/>
              <w:rPr>
                <w:rFonts w:eastAsia="宋体"/>
                <w:color w:val="000000"/>
                <w:kern w:val="0"/>
                <w:sz w:val="20"/>
              </w:rPr>
            </w:pPr>
          </w:p>
        </w:tc>
        <w:tc>
          <w:tcPr>
            <w:tcW w:w="2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8D80FF7">
            <w:pPr>
              <w:widowControl/>
              <w:jc w:val="right"/>
              <w:rPr>
                <w:rFonts w:eastAsia="宋体"/>
                <w:color w:val="000000"/>
                <w:kern w:val="0"/>
                <w:sz w:val="20"/>
              </w:rPr>
            </w:pPr>
          </w:p>
        </w:tc>
        <w:tc>
          <w:tcPr>
            <w:tcW w:w="226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6F2F7BE">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95FFE78">
            <w:pPr>
              <w:widowControl/>
              <w:jc w:val="right"/>
              <w:rPr>
                <w:rFonts w:eastAsia="宋体"/>
                <w:color w:val="000000"/>
                <w:kern w:val="0"/>
                <w:sz w:val="20"/>
              </w:rPr>
            </w:pPr>
          </w:p>
        </w:tc>
      </w:tr>
      <w:tr w14:paraId="18C05C47">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1A31E371">
            <w:pPr>
              <w:widowControl/>
              <w:jc w:val="center"/>
              <w:rPr>
                <w:rFonts w:eastAsia="宋体"/>
                <w:color w:val="000000"/>
                <w:kern w:val="0"/>
                <w:sz w:val="20"/>
              </w:rPr>
            </w:pPr>
          </w:p>
        </w:tc>
        <w:tc>
          <w:tcPr>
            <w:tcW w:w="2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D47AC0C">
            <w:pPr>
              <w:widowControl/>
              <w:jc w:val="right"/>
              <w:rPr>
                <w:rFonts w:eastAsia="宋体"/>
                <w:color w:val="000000"/>
                <w:kern w:val="0"/>
                <w:sz w:val="20"/>
              </w:rPr>
            </w:pPr>
          </w:p>
        </w:tc>
        <w:tc>
          <w:tcPr>
            <w:tcW w:w="226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42D9AFB">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C33E235">
            <w:pPr>
              <w:widowControl/>
              <w:jc w:val="right"/>
              <w:rPr>
                <w:rFonts w:eastAsia="宋体"/>
                <w:color w:val="000000"/>
                <w:kern w:val="0"/>
                <w:sz w:val="20"/>
              </w:rPr>
            </w:pPr>
          </w:p>
        </w:tc>
      </w:tr>
      <w:tr w14:paraId="2D633BA7">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448DDB03">
            <w:pPr>
              <w:widowControl/>
              <w:jc w:val="center"/>
              <w:rPr>
                <w:rFonts w:eastAsia="宋体"/>
                <w:color w:val="000000"/>
                <w:kern w:val="0"/>
                <w:sz w:val="20"/>
              </w:rPr>
            </w:pPr>
            <w:r>
              <w:rPr>
                <w:rFonts w:hint="eastAsia" w:asciiTheme="majorEastAsia" w:hAnsiTheme="majorEastAsia" w:eastAsiaTheme="majorEastAsia" w:cstheme="majorEastAsia"/>
                <w:color w:val="000000"/>
                <w:kern w:val="0"/>
                <w:sz w:val="20"/>
              </w:rPr>
              <w:t>合计</w:t>
            </w:r>
          </w:p>
        </w:tc>
        <w:tc>
          <w:tcPr>
            <w:tcW w:w="2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8345B08">
            <w:pPr>
              <w:widowControl/>
              <w:jc w:val="center"/>
              <w:rPr>
                <w:rFonts w:eastAsia="宋体"/>
                <w:color w:val="000000"/>
                <w:kern w:val="0"/>
                <w:sz w:val="20"/>
              </w:rPr>
            </w:pPr>
            <w:r>
              <w:rPr>
                <w:rFonts w:hint="eastAsia" w:eastAsia="宋体"/>
                <w:color w:val="000000"/>
                <w:kern w:val="0"/>
                <w:sz w:val="20"/>
              </w:rPr>
              <w:t>0.00</w:t>
            </w:r>
          </w:p>
        </w:tc>
        <w:tc>
          <w:tcPr>
            <w:tcW w:w="226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A4DC58A">
            <w:pPr>
              <w:widowControl/>
              <w:jc w:val="center"/>
              <w:rPr>
                <w:rFonts w:eastAsia="宋体"/>
                <w:color w:val="000000"/>
                <w:kern w:val="0"/>
                <w:sz w:val="20"/>
              </w:rPr>
            </w:pPr>
            <w:r>
              <w:rPr>
                <w:rFonts w:hint="eastAsia" w:eastAsia="宋体"/>
                <w:color w:val="000000"/>
                <w:kern w:val="0"/>
                <w:sz w:val="20"/>
              </w:rPr>
              <w:t>0.00</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39396BE">
            <w:pPr>
              <w:widowControl/>
              <w:jc w:val="center"/>
              <w:rPr>
                <w:rFonts w:eastAsia="宋体"/>
                <w:color w:val="000000"/>
                <w:kern w:val="0"/>
                <w:sz w:val="20"/>
              </w:rPr>
            </w:pPr>
            <w:r>
              <w:rPr>
                <w:rFonts w:hint="eastAsia" w:eastAsia="宋体"/>
                <w:color w:val="000000"/>
                <w:kern w:val="0"/>
                <w:sz w:val="20"/>
              </w:rPr>
              <w:t>0.00</w:t>
            </w:r>
          </w:p>
        </w:tc>
      </w:tr>
    </w:tbl>
    <w:p w14:paraId="3D0EDCA7">
      <w:pPr>
        <w:spacing w:line="700" w:lineRule="exact"/>
      </w:pPr>
    </w:p>
    <w:p w14:paraId="56D7385F">
      <w:pPr>
        <w:spacing w:line="700" w:lineRule="exact"/>
      </w:pPr>
    </w:p>
    <w:p w14:paraId="282F7A8D">
      <w:pPr>
        <w:ind w:firstLine="640" w:firstLineChars="200"/>
        <w:jc w:val="center"/>
        <w:rPr>
          <w:rFonts w:hint="eastAsia" w:eastAsia="楷体"/>
          <w:kern w:val="0"/>
          <w:szCs w:val="32"/>
          <w:lang w:eastAsia="zh-CN"/>
        </w:rPr>
      </w:pPr>
      <w:r>
        <w:rPr>
          <w:rFonts w:eastAsia="楷体"/>
          <w:kern w:val="0"/>
          <w:szCs w:val="32"/>
        </w:rPr>
        <w:t>注：按照《批复》中的预算</w:t>
      </w:r>
      <w:r>
        <w:rPr>
          <w:rFonts w:hint="eastAsia" w:eastAsia="楷体"/>
          <w:kern w:val="0"/>
          <w:szCs w:val="32"/>
        </w:rPr>
        <w:t>附表6</w:t>
      </w:r>
      <w:r>
        <w:rPr>
          <w:rFonts w:eastAsia="楷体"/>
          <w:kern w:val="0"/>
          <w:szCs w:val="32"/>
        </w:rPr>
        <w:t>（20</w:t>
      </w:r>
      <w:r>
        <w:rPr>
          <w:rFonts w:hint="eastAsia" w:eastAsia="楷体"/>
          <w:kern w:val="0"/>
          <w:szCs w:val="32"/>
        </w:rPr>
        <w:t>2</w:t>
      </w:r>
      <w:r>
        <w:rPr>
          <w:rFonts w:hint="eastAsia" w:eastAsia="楷体"/>
          <w:kern w:val="0"/>
          <w:szCs w:val="32"/>
          <w:lang w:val="en-US" w:eastAsia="zh-CN"/>
        </w:rPr>
        <w:t>6</w:t>
      </w:r>
      <w:r>
        <w:rPr>
          <w:rFonts w:eastAsia="楷体"/>
          <w:kern w:val="0"/>
          <w:szCs w:val="32"/>
        </w:rPr>
        <w:t>年</w:t>
      </w:r>
      <w:r>
        <w:rPr>
          <w:rFonts w:hint="eastAsia" w:eastAsia="楷体"/>
          <w:kern w:val="0"/>
          <w:szCs w:val="32"/>
        </w:rPr>
        <w:t>国有资本经营</w:t>
      </w:r>
      <w:r>
        <w:rPr>
          <w:rFonts w:eastAsia="楷体"/>
          <w:kern w:val="0"/>
          <w:szCs w:val="32"/>
        </w:rPr>
        <w:t>预算支出</w:t>
      </w:r>
      <w:r>
        <w:rPr>
          <w:rFonts w:hint="eastAsia" w:eastAsia="楷体"/>
          <w:kern w:val="0"/>
          <w:szCs w:val="32"/>
        </w:rPr>
        <w:t>明细</w:t>
      </w:r>
      <w:r>
        <w:rPr>
          <w:rFonts w:eastAsia="楷体"/>
          <w:kern w:val="0"/>
          <w:szCs w:val="32"/>
        </w:rPr>
        <w:t>表）填列，功能科目列至项级。</w:t>
      </w:r>
      <w:r>
        <w:rPr>
          <w:rFonts w:hint="eastAsia" w:eastAsia="楷体"/>
          <w:kern w:val="0"/>
          <w:szCs w:val="32"/>
        </w:rPr>
        <w:t>本部门无国有资本经营预算拨款</w:t>
      </w:r>
      <w:r>
        <w:rPr>
          <w:rFonts w:hint="eastAsia" w:eastAsia="楷体"/>
          <w:kern w:val="0"/>
          <w:szCs w:val="32"/>
          <w:lang w:eastAsia="zh-CN"/>
        </w:rPr>
        <w:t>。</w:t>
      </w:r>
      <w:r>
        <w:rPr>
          <w:rFonts w:eastAsia="楷体"/>
          <w:kern w:val="0"/>
          <w:szCs w:val="32"/>
        </w:rPr>
        <w:t>没有</w:t>
      </w:r>
      <w:r>
        <w:rPr>
          <w:rFonts w:hint="eastAsia" w:eastAsia="楷体"/>
          <w:kern w:val="0"/>
          <w:szCs w:val="32"/>
        </w:rPr>
        <w:t>国有资本经营</w:t>
      </w:r>
      <w:r>
        <w:rPr>
          <w:rFonts w:eastAsia="楷体"/>
          <w:kern w:val="0"/>
          <w:szCs w:val="32"/>
        </w:rPr>
        <w:t>预算拨款的，公开空表</w:t>
      </w:r>
      <w:r>
        <w:rPr>
          <w:rFonts w:hint="eastAsia" w:eastAsia="楷体"/>
          <w:kern w:val="0"/>
          <w:szCs w:val="32"/>
          <w:lang w:eastAsia="zh-CN"/>
        </w:rPr>
        <w:t>，</w:t>
      </w:r>
    </w:p>
    <w:p w14:paraId="682F5A68">
      <w:pPr>
        <w:jc w:val="both"/>
        <w:rPr>
          <w:rFonts w:hint="eastAsia" w:eastAsia="楷体"/>
          <w:kern w:val="0"/>
          <w:szCs w:val="32"/>
        </w:rPr>
      </w:pPr>
      <w:r>
        <w:rPr>
          <w:rFonts w:hint="eastAsia" w:eastAsia="楷体"/>
          <w:kern w:val="0"/>
          <w:szCs w:val="32"/>
          <w:lang w:eastAsia="zh-CN"/>
        </w:rPr>
        <w:t>不</w:t>
      </w:r>
      <w:r>
        <w:rPr>
          <w:rFonts w:hint="eastAsia" w:eastAsia="楷体"/>
          <w:kern w:val="0"/>
          <w:szCs w:val="32"/>
        </w:rPr>
        <w:t>得删除。</w:t>
      </w:r>
    </w:p>
    <w:p w14:paraId="588B7CE2">
      <w:pPr>
        <w:spacing w:line="700" w:lineRule="exact"/>
      </w:pPr>
    </w:p>
    <w:p w14:paraId="6B68FA1F">
      <w:pPr>
        <w:spacing w:line="700" w:lineRule="exact"/>
      </w:pPr>
    </w:p>
    <w:p w14:paraId="6B3FF6CF">
      <w:pPr>
        <w:spacing w:line="700" w:lineRule="exact"/>
      </w:pPr>
    </w:p>
    <w:p w14:paraId="57A293ED">
      <w:pPr>
        <w:spacing w:line="700" w:lineRule="exact"/>
      </w:pPr>
    </w:p>
    <w:p w14:paraId="7012C643">
      <w:pPr>
        <w:spacing w:line="700" w:lineRule="exact"/>
        <w:rPr>
          <w:rFonts w:eastAsia="楷体"/>
          <w:kern w:val="0"/>
          <w:szCs w:val="32"/>
        </w:rPr>
      </w:pPr>
    </w:p>
    <w:p w14:paraId="28E96517">
      <w:pPr>
        <w:spacing w:line="240" w:lineRule="auto"/>
        <w:ind w:firstLine="0" w:firstLineChars="0"/>
      </w:pPr>
    </w:p>
    <w:p w14:paraId="3308A155">
      <w:pPr>
        <w:spacing w:line="240" w:lineRule="auto"/>
        <w:ind w:firstLine="0" w:firstLineChars="0"/>
      </w:pPr>
    </w:p>
    <w:p w14:paraId="61C9BDD3">
      <w:pPr>
        <w:spacing w:line="240" w:lineRule="auto"/>
        <w:ind w:firstLine="0" w:firstLineChars="0"/>
        <w:rPr>
          <w:rFonts w:hint="eastAsia" w:eastAsia="楷体"/>
          <w:kern w:val="0"/>
          <w:szCs w:val="32"/>
          <w:lang w:eastAsia="zh-CN"/>
        </w:rPr>
      </w:pPr>
      <w:r>
        <w:drawing>
          <wp:inline distT="0" distB="0" distL="114300" distR="114300">
            <wp:extent cx="5890895" cy="2787650"/>
            <wp:effectExtent l="0" t="0" r="14605" b="12700"/>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pic:cNvPicPr>
                  </pic:nvPicPr>
                  <pic:blipFill>
                    <a:blip r:embed="rId17"/>
                    <a:stretch>
                      <a:fillRect/>
                    </a:stretch>
                  </pic:blipFill>
                  <pic:spPr>
                    <a:xfrm>
                      <a:off x="0" y="0"/>
                      <a:ext cx="5890895" cy="2787650"/>
                    </a:xfrm>
                    <a:prstGeom prst="rect">
                      <a:avLst/>
                    </a:prstGeom>
                    <a:noFill/>
                    <a:ln w="9525">
                      <a:noFill/>
                    </a:ln>
                  </pic:spPr>
                </pic:pic>
              </a:graphicData>
            </a:graphic>
          </wp:inline>
        </w:drawing>
      </w:r>
    </w:p>
    <w:p w14:paraId="69798AED">
      <w:pPr>
        <w:ind w:firstLine="640" w:firstLineChars="200"/>
        <w:rPr>
          <w:rFonts w:hAnsi="楷体" w:eastAsia="楷体"/>
        </w:rPr>
      </w:pPr>
    </w:p>
    <w:p w14:paraId="7F1A09DC">
      <w:pPr>
        <w:ind w:firstLine="640" w:firstLineChars="200"/>
        <w:rPr>
          <w:rFonts w:hAnsi="楷体" w:eastAsia="楷体"/>
        </w:rPr>
      </w:pPr>
      <w:r>
        <w:rPr>
          <w:rFonts w:hAnsi="楷体" w:eastAsia="楷体"/>
        </w:rPr>
        <w:t>注：按照《批复》中的预算表</w:t>
      </w:r>
      <w:r>
        <w:rPr>
          <w:rFonts w:hint="eastAsia" w:eastAsia="楷体"/>
        </w:rPr>
        <w:t>9</w:t>
      </w:r>
      <w:r>
        <w:rPr>
          <w:rFonts w:hAnsi="楷体" w:eastAsia="楷体"/>
        </w:rPr>
        <w:t>（</w:t>
      </w:r>
      <w:r>
        <w:rPr>
          <w:rFonts w:eastAsia="楷体"/>
        </w:rPr>
        <w:t>20</w:t>
      </w:r>
      <w:r>
        <w:rPr>
          <w:rFonts w:hint="eastAsia" w:eastAsia="楷体"/>
        </w:rPr>
        <w:t>2</w:t>
      </w:r>
      <w:r>
        <w:rPr>
          <w:rFonts w:hint="eastAsia" w:eastAsia="楷体"/>
          <w:lang w:val="en-US" w:eastAsia="zh-CN"/>
        </w:rPr>
        <w:t>6</w:t>
      </w:r>
      <w:r>
        <w:rPr>
          <w:rFonts w:hAnsi="楷体" w:eastAsia="楷体"/>
        </w:rPr>
        <w:t>年</w:t>
      </w:r>
      <w:r>
        <w:rPr>
          <w:rFonts w:hint="eastAsia" w:hAnsi="楷体" w:eastAsia="楷体"/>
        </w:rPr>
        <w:t>项目支出</w:t>
      </w:r>
      <w:r>
        <w:rPr>
          <w:rFonts w:hAnsi="楷体" w:eastAsia="楷体"/>
        </w:rPr>
        <w:t>表）填列。</w:t>
      </w:r>
    </w:p>
    <w:p w14:paraId="0272E4B0">
      <w:pPr>
        <w:ind w:firstLine="640" w:firstLineChars="200"/>
        <w:rPr>
          <w:rFonts w:hAnsi="楷体" w:eastAsia="楷体"/>
        </w:rPr>
      </w:pPr>
    </w:p>
    <w:p w14:paraId="34641C30">
      <w:pPr>
        <w:ind w:firstLine="640" w:firstLineChars="200"/>
        <w:jc w:val="center"/>
        <w:rPr>
          <w:rFonts w:eastAsia="黑体"/>
        </w:rPr>
      </w:pPr>
    </w:p>
    <w:p w14:paraId="02114129">
      <w:pPr>
        <w:ind w:firstLine="640" w:firstLineChars="200"/>
        <w:jc w:val="center"/>
        <w:rPr>
          <w:rFonts w:eastAsia="黑体"/>
        </w:rPr>
      </w:pPr>
    </w:p>
    <w:p w14:paraId="5CF77561">
      <w:pPr>
        <w:ind w:firstLine="640" w:firstLineChars="200"/>
        <w:jc w:val="center"/>
        <w:rPr>
          <w:rFonts w:eastAsia="黑体"/>
        </w:rPr>
      </w:pPr>
    </w:p>
    <w:p w14:paraId="0153A4E4">
      <w:pPr>
        <w:ind w:firstLine="640" w:firstLineChars="200"/>
        <w:jc w:val="center"/>
        <w:rPr>
          <w:rFonts w:eastAsia="黑体"/>
        </w:rPr>
      </w:pPr>
    </w:p>
    <w:p w14:paraId="0E073C3E">
      <w:pPr>
        <w:jc w:val="both"/>
        <w:rPr>
          <w:rFonts w:eastAsia="黑体"/>
        </w:rPr>
      </w:pPr>
    </w:p>
    <w:p w14:paraId="7F03943A">
      <w:pPr>
        <w:ind w:firstLine="640" w:firstLineChars="200"/>
        <w:jc w:val="center"/>
        <w:rPr>
          <w:rFonts w:eastAsia="黑体"/>
        </w:rPr>
      </w:pPr>
    </w:p>
    <w:p w14:paraId="076396E0">
      <w:pPr>
        <w:ind w:firstLine="640" w:firstLineChars="200"/>
        <w:jc w:val="center"/>
        <w:rPr>
          <w:rFonts w:eastAsia="黑体"/>
        </w:rPr>
      </w:pPr>
    </w:p>
    <w:p w14:paraId="7AE25231">
      <w:pPr>
        <w:ind w:firstLine="640" w:firstLineChars="200"/>
        <w:jc w:val="center"/>
        <w:rPr>
          <w:rFonts w:eastAsia="黑体"/>
        </w:rPr>
      </w:pPr>
    </w:p>
    <w:tbl>
      <w:tblPr>
        <w:tblStyle w:val="9"/>
        <w:tblW w:w="8600" w:type="dxa"/>
        <w:tblInd w:w="93" w:type="dxa"/>
        <w:tblLayout w:type="autofit"/>
        <w:tblCellMar>
          <w:top w:w="0" w:type="dxa"/>
          <w:left w:w="108" w:type="dxa"/>
          <w:bottom w:w="0" w:type="dxa"/>
          <w:right w:w="108" w:type="dxa"/>
        </w:tblCellMar>
      </w:tblPr>
      <w:tblGrid>
        <w:gridCol w:w="1531"/>
        <w:gridCol w:w="1765"/>
        <w:gridCol w:w="1768"/>
        <w:gridCol w:w="1765"/>
        <w:gridCol w:w="1771"/>
      </w:tblGrid>
      <w:tr w14:paraId="4E030DB8">
        <w:tblPrEx>
          <w:tblCellMar>
            <w:top w:w="0" w:type="dxa"/>
            <w:left w:w="108" w:type="dxa"/>
            <w:bottom w:w="0" w:type="dxa"/>
            <w:right w:w="108" w:type="dxa"/>
          </w:tblCellMar>
        </w:tblPrEx>
        <w:trPr>
          <w:trHeight w:val="663" w:hRule="atLeast"/>
        </w:trPr>
        <w:tc>
          <w:tcPr>
            <w:tcW w:w="8600" w:type="dxa"/>
            <w:gridSpan w:val="5"/>
            <w:tcBorders>
              <w:top w:val="nil"/>
              <w:left w:val="nil"/>
              <w:bottom w:val="nil"/>
              <w:right w:val="nil"/>
            </w:tcBorders>
            <w:vAlign w:val="center"/>
          </w:tcPr>
          <w:p w14:paraId="7CC59DDB">
            <w:pPr>
              <w:widowControl/>
              <w:jc w:val="center"/>
              <w:textAlignment w:val="center"/>
              <w:rPr>
                <w:rFonts w:ascii="方正小标宋简体" w:hAnsi="方正小标宋简体" w:eastAsia="方正小标宋简体" w:cs="方正小标宋简体"/>
                <w:color w:val="000000"/>
                <w:sz w:val="44"/>
                <w:szCs w:val="44"/>
              </w:rPr>
            </w:pPr>
            <w:r>
              <w:rPr>
                <w:rFonts w:ascii="方正小标宋简体" w:hAnsi="方正小标宋简体" w:eastAsia="方正小标宋简体" w:cs="方正小标宋简体"/>
                <w:color w:val="000000"/>
                <w:kern w:val="0"/>
                <w:sz w:val="32"/>
                <w:szCs w:val="32"/>
              </w:rPr>
              <w:t>项目支出绩效目标表</w:t>
            </w:r>
          </w:p>
        </w:tc>
      </w:tr>
      <w:tr w14:paraId="3E36D615">
        <w:tblPrEx>
          <w:tblCellMar>
            <w:top w:w="0" w:type="dxa"/>
            <w:left w:w="108" w:type="dxa"/>
            <w:bottom w:w="0" w:type="dxa"/>
            <w:right w:w="108" w:type="dxa"/>
          </w:tblCellMar>
        </w:tblPrEx>
        <w:trPr>
          <w:trHeight w:val="602" w:hRule="atLeast"/>
        </w:trPr>
        <w:tc>
          <w:tcPr>
            <w:tcW w:w="8600" w:type="dxa"/>
            <w:gridSpan w:val="5"/>
            <w:tcBorders>
              <w:top w:val="nil"/>
              <w:left w:val="nil"/>
              <w:bottom w:val="nil"/>
              <w:right w:val="nil"/>
            </w:tcBorders>
            <w:vAlign w:val="center"/>
          </w:tcPr>
          <w:p w14:paraId="53CCBF47">
            <w:pPr>
              <w:widowControl/>
              <w:jc w:val="both"/>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预算单位：长春经济技术开发区财务结算中心</w:t>
            </w:r>
          </w:p>
          <w:p w14:paraId="302B446D">
            <w:pPr>
              <w:widowControl/>
              <w:jc w:val="both"/>
              <w:textAlignment w:val="center"/>
              <w:rPr>
                <w:rFonts w:hint="default" w:ascii="宋体" w:hAnsi="宋体" w:eastAsia="宋体" w:cs="宋体"/>
                <w:color w:val="000000"/>
                <w:sz w:val="20"/>
                <w:lang w:val="en-US" w:eastAsia="zh-CN"/>
              </w:rPr>
            </w:pPr>
            <w:r>
              <w:rPr>
                <w:rFonts w:hint="eastAsia" w:ascii="宋体" w:hAnsi="宋体" w:eastAsia="宋体" w:cs="宋体"/>
                <w:color w:val="000000"/>
                <w:kern w:val="0"/>
                <w:sz w:val="16"/>
                <w:szCs w:val="16"/>
              </w:rPr>
              <w:t>（长春经济技术开发区国库集中支付中心）</w:t>
            </w:r>
            <w:r>
              <w:rPr>
                <w:rFonts w:hint="eastAsia" w:ascii="宋体" w:hAnsi="宋体" w:eastAsia="宋体" w:cs="宋体"/>
                <w:color w:val="000000"/>
                <w:kern w:val="0"/>
                <w:sz w:val="16"/>
                <w:szCs w:val="16"/>
                <w:lang w:val="en-US" w:eastAsia="zh-CN"/>
              </w:rPr>
              <w:t xml:space="preserve">     </w:t>
            </w:r>
            <w:r>
              <w:rPr>
                <w:rFonts w:hint="eastAsia" w:ascii="宋体" w:hAnsi="宋体" w:eastAsia="宋体" w:cs="宋体"/>
                <w:color w:val="000000"/>
                <w:kern w:val="0"/>
                <w:sz w:val="20"/>
                <w:lang w:val="en-US" w:eastAsia="zh-CN"/>
              </w:rPr>
              <w:t xml:space="preserve">                                       单位：万元</w:t>
            </w:r>
          </w:p>
        </w:tc>
      </w:tr>
      <w:tr w14:paraId="3F129C8C">
        <w:tblPrEx>
          <w:tblCellMar>
            <w:top w:w="0" w:type="dxa"/>
            <w:left w:w="108" w:type="dxa"/>
            <w:bottom w:w="0" w:type="dxa"/>
            <w:right w:w="108" w:type="dxa"/>
          </w:tblCellMar>
        </w:tblPrEx>
        <w:trPr>
          <w:trHeight w:val="410" w:hRule="atLeast"/>
        </w:trPr>
        <w:tc>
          <w:tcPr>
            <w:tcW w:w="5064" w:type="dxa"/>
            <w:gridSpan w:val="3"/>
            <w:tcBorders>
              <w:top w:val="single" w:color="000000" w:sz="4" w:space="0"/>
              <w:left w:val="single" w:color="000000" w:sz="4" w:space="0"/>
              <w:bottom w:val="single" w:color="000000" w:sz="4" w:space="0"/>
              <w:right w:val="single" w:color="000000" w:sz="4" w:space="0"/>
            </w:tcBorders>
            <w:vAlign w:val="center"/>
          </w:tcPr>
          <w:p w14:paraId="7C85424E">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项目名称</w:t>
            </w:r>
          </w:p>
        </w:tc>
        <w:tc>
          <w:tcPr>
            <w:tcW w:w="3536" w:type="dxa"/>
            <w:gridSpan w:val="2"/>
            <w:tcBorders>
              <w:top w:val="single" w:color="000000" w:sz="4" w:space="0"/>
              <w:left w:val="single" w:color="000000" w:sz="4" w:space="0"/>
              <w:bottom w:val="single" w:color="000000" w:sz="4" w:space="0"/>
              <w:right w:val="single" w:color="000000" w:sz="4" w:space="0"/>
            </w:tcBorders>
            <w:vAlign w:val="center"/>
          </w:tcPr>
          <w:p w14:paraId="5A23CC50">
            <w:pPr>
              <w:widowControl/>
              <w:jc w:val="center"/>
              <w:textAlignment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财务工作经费</w:t>
            </w:r>
          </w:p>
        </w:tc>
      </w:tr>
      <w:tr w14:paraId="375D2DA6">
        <w:tblPrEx>
          <w:tblCellMar>
            <w:top w:w="0" w:type="dxa"/>
            <w:left w:w="108" w:type="dxa"/>
            <w:bottom w:w="0" w:type="dxa"/>
            <w:right w:w="108" w:type="dxa"/>
          </w:tblCellMar>
        </w:tblPrEx>
        <w:trPr>
          <w:trHeight w:val="410" w:hRule="atLeast"/>
        </w:trPr>
        <w:tc>
          <w:tcPr>
            <w:tcW w:w="5064" w:type="dxa"/>
            <w:gridSpan w:val="3"/>
            <w:tcBorders>
              <w:top w:val="single" w:color="000000" w:sz="4" w:space="0"/>
              <w:left w:val="single" w:color="000000" w:sz="4" w:space="0"/>
              <w:bottom w:val="single" w:color="000000" w:sz="4" w:space="0"/>
              <w:right w:val="single" w:color="000000" w:sz="4" w:space="0"/>
            </w:tcBorders>
            <w:vAlign w:val="center"/>
          </w:tcPr>
          <w:p w14:paraId="0E4B6BDF">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项目级次</w:t>
            </w:r>
          </w:p>
        </w:tc>
        <w:tc>
          <w:tcPr>
            <w:tcW w:w="3536" w:type="dxa"/>
            <w:gridSpan w:val="2"/>
            <w:tcBorders>
              <w:top w:val="single" w:color="000000" w:sz="4" w:space="0"/>
              <w:left w:val="single" w:color="000000" w:sz="4" w:space="0"/>
              <w:bottom w:val="single" w:color="000000" w:sz="4" w:space="0"/>
              <w:right w:val="single" w:color="000000" w:sz="4" w:space="0"/>
            </w:tcBorders>
            <w:vAlign w:val="center"/>
          </w:tcPr>
          <w:p w14:paraId="76D1BD53">
            <w:pPr>
              <w:widowControl/>
              <w:jc w:val="center"/>
              <w:textAlignment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一级项目</w:t>
            </w:r>
          </w:p>
        </w:tc>
      </w:tr>
      <w:tr w14:paraId="03C25F5E">
        <w:tblPrEx>
          <w:tblCellMar>
            <w:top w:w="0" w:type="dxa"/>
            <w:left w:w="108" w:type="dxa"/>
            <w:bottom w:w="0" w:type="dxa"/>
            <w:right w:w="108" w:type="dxa"/>
          </w:tblCellMar>
        </w:tblPrEx>
        <w:trPr>
          <w:trHeight w:val="410" w:hRule="atLeast"/>
        </w:trPr>
        <w:tc>
          <w:tcPr>
            <w:tcW w:w="1531" w:type="dxa"/>
            <w:tcBorders>
              <w:top w:val="single" w:color="000000" w:sz="4" w:space="0"/>
              <w:left w:val="single" w:color="000000" w:sz="4" w:space="0"/>
              <w:bottom w:val="single" w:color="000000" w:sz="4" w:space="0"/>
              <w:right w:val="single" w:color="000000" w:sz="4" w:space="0"/>
            </w:tcBorders>
            <w:vAlign w:val="center"/>
          </w:tcPr>
          <w:p w14:paraId="3E7B0BBE">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项目资金</w:t>
            </w:r>
          </w:p>
        </w:tc>
        <w:tc>
          <w:tcPr>
            <w:tcW w:w="3533" w:type="dxa"/>
            <w:gridSpan w:val="2"/>
            <w:tcBorders>
              <w:top w:val="single" w:color="000000" w:sz="4" w:space="0"/>
              <w:left w:val="single" w:color="000000" w:sz="4" w:space="0"/>
              <w:bottom w:val="single" w:color="000000" w:sz="4" w:space="0"/>
              <w:right w:val="single" w:color="000000" w:sz="4" w:space="0"/>
            </w:tcBorders>
            <w:vAlign w:val="center"/>
          </w:tcPr>
          <w:p w14:paraId="26871313">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年度资金总额</w:t>
            </w:r>
          </w:p>
        </w:tc>
        <w:tc>
          <w:tcPr>
            <w:tcW w:w="3536" w:type="dxa"/>
            <w:gridSpan w:val="2"/>
            <w:tcBorders>
              <w:top w:val="single" w:color="000000" w:sz="4" w:space="0"/>
              <w:left w:val="single" w:color="000000" w:sz="4" w:space="0"/>
              <w:bottom w:val="single" w:color="000000" w:sz="4" w:space="0"/>
              <w:right w:val="single" w:color="000000" w:sz="4" w:space="0"/>
            </w:tcBorders>
            <w:vAlign w:val="center"/>
          </w:tcPr>
          <w:p w14:paraId="4E1E1760">
            <w:pPr>
              <w:widowControl/>
              <w:jc w:val="center"/>
              <w:textAlignment w:val="center"/>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6.85</w:t>
            </w:r>
          </w:p>
        </w:tc>
      </w:tr>
      <w:tr w14:paraId="1E218DE8">
        <w:tblPrEx>
          <w:tblCellMar>
            <w:top w:w="0" w:type="dxa"/>
            <w:left w:w="108" w:type="dxa"/>
            <w:bottom w:w="0" w:type="dxa"/>
            <w:right w:w="108" w:type="dxa"/>
          </w:tblCellMar>
        </w:tblPrEx>
        <w:trPr>
          <w:trHeight w:val="410" w:hRule="atLeast"/>
        </w:trPr>
        <w:tc>
          <w:tcPr>
            <w:tcW w:w="1531" w:type="dxa"/>
            <w:tcBorders>
              <w:top w:val="single" w:color="000000" w:sz="4" w:space="0"/>
              <w:left w:val="single" w:color="000000" w:sz="4" w:space="0"/>
              <w:bottom w:val="single" w:color="000000" w:sz="4" w:space="0"/>
              <w:right w:val="single" w:color="000000" w:sz="4" w:space="0"/>
            </w:tcBorders>
            <w:vAlign w:val="center"/>
          </w:tcPr>
          <w:p w14:paraId="33BB57A9">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(万元）</w:t>
            </w:r>
          </w:p>
        </w:tc>
        <w:tc>
          <w:tcPr>
            <w:tcW w:w="3533" w:type="dxa"/>
            <w:gridSpan w:val="2"/>
            <w:tcBorders>
              <w:top w:val="single" w:color="000000" w:sz="4" w:space="0"/>
              <w:left w:val="single" w:color="000000" w:sz="4" w:space="0"/>
              <w:bottom w:val="single" w:color="000000" w:sz="4" w:space="0"/>
              <w:right w:val="single" w:color="000000" w:sz="4" w:space="0"/>
            </w:tcBorders>
            <w:vAlign w:val="center"/>
          </w:tcPr>
          <w:p w14:paraId="1B82BA85">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其中：财政拨款</w:t>
            </w:r>
          </w:p>
        </w:tc>
        <w:tc>
          <w:tcPr>
            <w:tcW w:w="3536" w:type="dxa"/>
            <w:gridSpan w:val="2"/>
            <w:tcBorders>
              <w:top w:val="single" w:color="000000" w:sz="4" w:space="0"/>
              <w:left w:val="single" w:color="000000" w:sz="4" w:space="0"/>
              <w:bottom w:val="single" w:color="000000" w:sz="4" w:space="0"/>
              <w:right w:val="single" w:color="000000" w:sz="4" w:space="0"/>
            </w:tcBorders>
            <w:vAlign w:val="center"/>
          </w:tcPr>
          <w:p w14:paraId="3B7798E4">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6.85</w:t>
            </w:r>
          </w:p>
        </w:tc>
      </w:tr>
      <w:tr w14:paraId="0188A8A0">
        <w:tblPrEx>
          <w:tblCellMar>
            <w:top w:w="0" w:type="dxa"/>
            <w:left w:w="108" w:type="dxa"/>
            <w:bottom w:w="0" w:type="dxa"/>
            <w:right w:w="108" w:type="dxa"/>
          </w:tblCellMar>
        </w:tblPrEx>
        <w:trPr>
          <w:trHeight w:val="410"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14:paraId="214D39B0">
            <w:pPr>
              <w:widowControl/>
              <w:jc w:val="center"/>
              <w:textAlignment w:val="center"/>
              <w:rPr>
                <w:rFonts w:hint="eastAsia" w:ascii="宋体" w:hAnsi="宋体" w:eastAsia="宋体" w:cs="宋体"/>
                <w:color w:val="000000"/>
                <w:kern w:val="0"/>
                <w:sz w:val="20"/>
              </w:rPr>
            </w:pPr>
          </w:p>
        </w:tc>
        <w:tc>
          <w:tcPr>
            <w:tcW w:w="3533" w:type="dxa"/>
            <w:gridSpan w:val="2"/>
            <w:tcBorders>
              <w:top w:val="single" w:color="000000" w:sz="4" w:space="0"/>
              <w:left w:val="single" w:color="000000" w:sz="4" w:space="0"/>
              <w:bottom w:val="single" w:color="000000" w:sz="4" w:space="0"/>
              <w:right w:val="single" w:color="000000" w:sz="4" w:space="0"/>
            </w:tcBorders>
            <w:vAlign w:val="center"/>
          </w:tcPr>
          <w:p w14:paraId="00F12C3D">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 xml:space="preserve">      其他资金</w:t>
            </w:r>
          </w:p>
        </w:tc>
        <w:tc>
          <w:tcPr>
            <w:tcW w:w="3536" w:type="dxa"/>
            <w:gridSpan w:val="2"/>
            <w:tcBorders>
              <w:top w:val="single" w:color="000000" w:sz="4" w:space="0"/>
              <w:left w:val="single" w:color="000000" w:sz="4" w:space="0"/>
              <w:bottom w:val="single" w:color="000000" w:sz="4" w:space="0"/>
              <w:right w:val="single" w:color="000000" w:sz="4" w:space="0"/>
            </w:tcBorders>
            <w:vAlign w:val="center"/>
          </w:tcPr>
          <w:p w14:paraId="71C6C9B6">
            <w:pPr>
              <w:widowControl/>
              <w:jc w:val="center"/>
              <w:textAlignment w:val="center"/>
              <w:rPr>
                <w:rFonts w:hint="eastAsia" w:ascii="宋体" w:hAnsi="宋体" w:eastAsia="宋体" w:cs="宋体"/>
                <w:color w:val="000000"/>
                <w:kern w:val="0"/>
                <w:sz w:val="20"/>
              </w:rPr>
            </w:pPr>
          </w:p>
        </w:tc>
      </w:tr>
      <w:tr w14:paraId="289200B1">
        <w:tblPrEx>
          <w:tblCellMar>
            <w:top w:w="0" w:type="dxa"/>
            <w:left w:w="108" w:type="dxa"/>
            <w:bottom w:w="0" w:type="dxa"/>
            <w:right w:w="108" w:type="dxa"/>
          </w:tblCellMar>
        </w:tblPrEx>
        <w:trPr>
          <w:trHeight w:val="410" w:hRule="atLeast"/>
        </w:trPr>
        <w:tc>
          <w:tcPr>
            <w:tcW w:w="1531" w:type="dxa"/>
            <w:tcBorders>
              <w:top w:val="single" w:color="000000" w:sz="4" w:space="0"/>
              <w:left w:val="single" w:color="000000" w:sz="4" w:space="0"/>
              <w:bottom w:val="single" w:color="000000" w:sz="4" w:space="0"/>
              <w:right w:val="single" w:color="000000" w:sz="4" w:space="0"/>
            </w:tcBorders>
            <w:vAlign w:val="center"/>
          </w:tcPr>
          <w:p w14:paraId="2D766F36">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年度绩效</w:t>
            </w:r>
          </w:p>
        </w:tc>
        <w:tc>
          <w:tcPr>
            <w:tcW w:w="7069" w:type="dxa"/>
            <w:gridSpan w:val="4"/>
            <w:vMerge w:val="restart"/>
            <w:tcBorders>
              <w:top w:val="single" w:color="000000" w:sz="4" w:space="0"/>
              <w:left w:val="single" w:color="000000" w:sz="4" w:space="0"/>
              <w:bottom w:val="single" w:color="000000" w:sz="4" w:space="0"/>
              <w:right w:val="single" w:color="000000" w:sz="4" w:space="0"/>
            </w:tcBorders>
            <w:vAlign w:val="center"/>
          </w:tcPr>
          <w:p w14:paraId="665D7B92">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18"/>
                <w:szCs w:val="18"/>
              </w:rPr>
              <w:t>稳步推进国库集中支付,严格按照会计制度相关规定进行会计核算和资金结算工作。</w:t>
            </w:r>
          </w:p>
        </w:tc>
      </w:tr>
      <w:tr w14:paraId="05379F65">
        <w:tblPrEx>
          <w:tblCellMar>
            <w:top w:w="0" w:type="dxa"/>
            <w:left w:w="108" w:type="dxa"/>
            <w:bottom w:w="0" w:type="dxa"/>
            <w:right w:w="108" w:type="dxa"/>
          </w:tblCellMar>
        </w:tblPrEx>
        <w:trPr>
          <w:trHeight w:val="410" w:hRule="atLeast"/>
        </w:trPr>
        <w:tc>
          <w:tcPr>
            <w:tcW w:w="1531" w:type="dxa"/>
            <w:tcBorders>
              <w:top w:val="single" w:color="000000" w:sz="4" w:space="0"/>
              <w:left w:val="single" w:color="000000" w:sz="4" w:space="0"/>
              <w:bottom w:val="single" w:color="000000" w:sz="4" w:space="0"/>
              <w:right w:val="single" w:color="000000" w:sz="4" w:space="0"/>
            </w:tcBorders>
            <w:vAlign w:val="center"/>
          </w:tcPr>
          <w:p w14:paraId="4B1758BD">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目标</w:t>
            </w:r>
          </w:p>
        </w:tc>
        <w:tc>
          <w:tcPr>
            <w:tcW w:w="706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4587EF89">
            <w:pPr>
              <w:widowControl/>
              <w:jc w:val="center"/>
              <w:textAlignment w:val="center"/>
              <w:rPr>
                <w:rFonts w:hint="eastAsia" w:ascii="宋体" w:hAnsi="宋体" w:eastAsia="宋体" w:cs="宋体"/>
                <w:color w:val="000000"/>
                <w:kern w:val="0"/>
                <w:sz w:val="20"/>
              </w:rPr>
            </w:pPr>
          </w:p>
        </w:tc>
      </w:tr>
      <w:tr w14:paraId="15B74AB7">
        <w:tblPrEx>
          <w:tblCellMar>
            <w:top w:w="0" w:type="dxa"/>
            <w:left w:w="108" w:type="dxa"/>
            <w:bottom w:w="0" w:type="dxa"/>
            <w:right w:w="108" w:type="dxa"/>
          </w:tblCellMar>
        </w:tblPrEx>
        <w:trPr>
          <w:trHeight w:val="410" w:hRule="atLeast"/>
        </w:trPr>
        <w:tc>
          <w:tcPr>
            <w:tcW w:w="1531" w:type="dxa"/>
            <w:vMerge w:val="restart"/>
            <w:tcBorders>
              <w:top w:val="single" w:color="000000" w:sz="4" w:space="0"/>
              <w:left w:val="single" w:color="000000" w:sz="4" w:space="0"/>
              <w:bottom w:val="single" w:color="000000" w:sz="4" w:space="0"/>
              <w:right w:val="single" w:color="000000" w:sz="4" w:space="0"/>
            </w:tcBorders>
            <w:vAlign w:val="center"/>
          </w:tcPr>
          <w:p w14:paraId="687FE6DD">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绩效指标</w:t>
            </w:r>
          </w:p>
        </w:tc>
        <w:tc>
          <w:tcPr>
            <w:tcW w:w="1765" w:type="dxa"/>
            <w:tcBorders>
              <w:top w:val="single" w:color="000000" w:sz="4" w:space="0"/>
              <w:left w:val="single" w:color="000000" w:sz="4" w:space="0"/>
              <w:bottom w:val="single" w:color="000000" w:sz="4" w:space="0"/>
              <w:right w:val="single" w:color="000000" w:sz="4" w:space="0"/>
            </w:tcBorders>
            <w:vAlign w:val="center"/>
          </w:tcPr>
          <w:p w14:paraId="361B78CB">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一级指标</w:t>
            </w:r>
          </w:p>
        </w:tc>
        <w:tc>
          <w:tcPr>
            <w:tcW w:w="1768" w:type="dxa"/>
            <w:tcBorders>
              <w:top w:val="single" w:color="000000" w:sz="4" w:space="0"/>
              <w:left w:val="single" w:color="000000" w:sz="4" w:space="0"/>
              <w:bottom w:val="single" w:color="000000" w:sz="4" w:space="0"/>
              <w:right w:val="single" w:color="000000" w:sz="4" w:space="0"/>
            </w:tcBorders>
            <w:vAlign w:val="center"/>
          </w:tcPr>
          <w:p w14:paraId="0799B507">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二级指标</w:t>
            </w:r>
          </w:p>
        </w:tc>
        <w:tc>
          <w:tcPr>
            <w:tcW w:w="1765" w:type="dxa"/>
            <w:tcBorders>
              <w:top w:val="single" w:color="000000" w:sz="4" w:space="0"/>
              <w:left w:val="single" w:color="000000" w:sz="4" w:space="0"/>
              <w:bottom w:val="single" w:color="000000" w:sz="4" w:space="0"/>
              <w:right w:val="single" w:color="000000" w:sz="4" w:space="0"/>
            </w:tcBorders>
            <w:vAlign w:val="center"/>
          </w:tcPr>
          <w:p w14:paraId="0AC3E7D2">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三级指标</w:t>
            </w:r>
          </w:p>
        </w:tc>
        <w:tc>
          <w:tcPr>
            <w:tcW w:w="1771" w:type="dxa"/>
            <w:tcBorders>
              <w:top w:val="single" w:color="000000" w:sz="4" w:space="0"/>
              <w:left w:val="single" w:color="000000" w:sz="4" w:space="0"/>
              <w:bottom w:val="single" w:color="000000" w:sz="4" w:space="0"/>
              <w:right w:val="single" w:color="000000" w:sz="4" w:space="0"/>
            </w:tcBorders>
            <w:vAlign w:val="center"/>
          </w:tcPr>
          <w:p w14:paraId="6C6B57A1">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指标值</w:t>
            </w:r>
          </w:p>
        </w:tc>
      </w:tr>
      <w:tr w14:paraId="081DF130">
        <w:tblPrEx>
          <w:tblCellMar>
            <w:top w:w="0" w:type="dxa"/>
            <w:left w:w="108" w:type="dxa"/>
            <w:bottom w:w="0" w:type="dxa"/>
            <w:right w:w="108" w:type="dxa"/>
          </w:tblCellMar>
        </w:tblPrEx>
        <w:trPr>
          <w:trHeight w:val="399" w:hRule="atLeast"/>
        </w:trPr>
        <w:tc>
          <w:tcPr>
            <w:tcW w:w="1531" w:type="dxa"/>
            <w:vMerge w:val="continue"/>
            <w:tcBorders>
              <w:top w:val="single" w:color="000000" w:sz="4" w:space="0"/>
              <w:left w:val="single" w:color="000000" w:sz="4" w:space="0"/>
              <w:bottom w:val="single" w:color="000000" w:sz="4" w:space="0"/>
              <w:right w:val="single" w:color="000000" w:sz="4" w:space="0"/>
            </w:tcBorders>
            <w:vAlign w:val="center"/>
          </w:tcPr>
          <w:p w14:paraId="41601C8D">
            <w:pPr>
              <w:widowControl/>
              <w:jc w:val="center"/>
              <w:textAlignment w:val="center"/>
              <w:rPr>
                <w:rFonts w:hint="eastAsia" w:ascii="宋体" w:hAnsi="宋体" w:eastAsia="宋体" w:cs="宋体"/>
                <w:color w:val="000000"/>
                <w:kern w:val="0"/>
                <w:sz w:val="20"/>
              </w:rPr>
            </w:pPr>
          </w:p>
        </w:tc>
        <w:tc>
          <w:tcPr>
            <w:tcW w:w="1765" w:type="dxa"/>
            <w:vMerge w:val="restart"/>
            <w:tcBorders>
              <w:top w:val="single" w:color="000000" w:sz="4" w:space="0"/>
              <w:left w:val="single" w:color="000000" w:sz="4" w:space="0"/>
              <w:bottom w:val="single" w:color="000000" w:sz="4" w:space="0"/>
              <w:right w:val="single" w:color="000000" w:sz="4" w:space="0"/>
            </w:tcBorders>
            <w:vAlign w:val="center"/>
          </w:tcPr>
          <w:p w14:paraId="35393125">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产出指标</w:t>
            </w:r>
          </w:p>
        </w:tc>
        <w:tc>
          <w:tcPr>
            <w:tcW w:w="1768" w:type="dxa"/>
            <w:tcBorders>
              <w:top w:val="single" w:color="000000" w:sz="4" w:space="0"/>
              <w:left w:val="single" w:color="000000" w:sz="4" w:space="0"/>
              <w:bottom w:val="single" w:color="000000" w:sz="4" w:space="0"/>
              <w:right w:val="single" w:color="000000" w:sz="4" w:space="0"/>
            </w:tcBorders>
            <w:vAlign w:val="center"/>
          </w:tcPr>
          <w:p w14:paraId="50161CCF">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数量指标</w:t>
            </w:r>
          </w:p>
        </w:tc>
        <w:tc>
          <w:tcPr>
            <w:tcW w:w="1765" w:type="dxa"/>
            <w:tcBorders>
              <w:top w:val="single" w:color="000000" w:sz="4" w:space="0"/>
              <w:left w:val="single" w:color="000000" w:sz="4" w:space="0"/>
              <w:bottom w:val="single" w:color="000000" w:sz="4" w:space="0"/>
              <w:right w:val="single" w:color="000000" w:sz="4" w:space="0"/>
            </w:tcBorders>
            <w:vAlign w:val="center"/>
          </w:tcPr>
          <w:p w14:paraId="30215181">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 xml:space="preserve">完成全区88家预算单位的会计核算和资金结算工作。 </w:t>
            </w:r>
          </w:p>
        </w:tc>
        <w:tc>
          <w:tcPr>
            <w:tcW w:w="1771" w:type="dxa"/>
            <w:tcBorders>
              <w:top w:val="single" w:color="000000" w:sz="4" w:space="0"/>
              <w:left w:val="single" w:color="000000" w:sz="4" w:space="0"/>
              <w:bottom w:val="single" w:color="000000" w:sz="4" w:space="0"/>
              <w:right w:val="single" w:color="000000" w:sz="4" w:space="0"/>
            </w:tcBorders>
            <w:vAlign w:val="center"/>
          </w:tcPr>
          <w:p w14:paraId="008F7C3B">
            <w:pPr>
              <w:widowControl/>
              <w:jc w:val="center"/>
              <w:textAlignment w:val="center"/>
              <w:rPr>
                <w:rFonts w:hint="eastAsia" w:ascii="宋体" w:hAnsi="宋体" w:eastAsia="宋体" w:cs="宋体"/>
                <w:color w:val="000000"/>
                <w:kern w:val="0"/>
                <w:sz w:val="20"/>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color w:val="000000"/>
                <w:kern w:val="0"/>
                <w:sz w:val="20"/>
                <w:szCs w:val="20"/>
              </w:rPr>
              <w:t>8</w:t>
            </w:r>
            <w:r>
              <w:rPr>
                <w:rFonts w:hint="eastAsia" w:ascii="宋体" w:hAnsi="宋体" w:eastAsia="宋体" w:cs="宋体"/>
                <w:color w:val="000000"/>
                <w:kern w:val="0"/>
                <w:sz w:val="20"/>
                <w:szCs w:val="20"/>
                <w:lang w:val="en-US" w:eastAsia="zh-CN"/>
              </w:rPr>
              <w:t>8</w:t>
            </w:r>
            <w:r>
              <w:rPr>
                <w:rFonts w:hint="eastAsia" w:ascii="宋体" w:hAnsi="宋体" w:eastAsia="宋体" w:cs="宋体"/>
                <w:color w:val="000000"/>
                <w:kern w:val="0"/>
                <w:sz w:val="20"/>
                <w:szCs w:val="20"/>
              </w:rPr>
              <w:t>家</w:t>
            </w:r>
          </w:p>
        </w:tc>
      </w:tr>
      <w:tr w14:paraId="7E1AD934">
        <w:tblPrEx>
          <w:tblCellMar>
            <w:top w:w="0" w:type="dxa"/>
            <w:left w:w="108" w:type="dxa"/>
            <w:bottom w:w="0" w:type="dxa"/>
            <w:right w:w="108" w:type="dxa"/>
          </w:tblCellMar>
        </w:tblPrEx>
        <w:trPr>
          <w:trHeight w:val="410" w:hRule="atLeast"/>
        </w:trPr>
        <w:tc>
          <w:tcPr>
            <w:tcW w:w="1531" w:type="dxa"/>
            <w:vMerge w:val="continue"/>
            <w:tcBorders>
              <w:top w:val="single" w:color="000000" w:sz="4" w:space="0"/>
              <w:left w:val="single" w:color="000000" w:sz="4" w:space="0"/>
              <w:bottom w:val="single" w:color="000000" w:sz="4" w:space="0"/>
              <w:right w:val="single" w:color="000000" w:sz="4" w:space="0"/>
            </w:tcBorders>
            <w:vAlign w:val="center"/>
          </w:tcPr>
          <w:p w14:paraId="14C753A5">
            <w:pPr>
              <w:widowControl/>
              <w:jc w:val="center"/>
              <w:textAlignment w:val="center"/>
              <w:rPr>
                <w:rFonts w:hint="eastAsia" w:ascii="宋体" w:hAnsi="宋体" w:eastAsia="宋体" w:cs="宋体"/>
                <w:color w:val="000000"/>
                <w:kern w:val="0"/>
                <w:sz w:val="20"/>
              </w:rPr>
            </w:pPr>
          </w:p>
        </w:tc>
        <w:tc>
          <w:tcPr>
            <w:tcW w:w="1765" w:type="dxa"/>
            <w:vMerge w:val="continue"/>
            <w:tcBorders>
              <w:top w:val="single" w:color="000000" w:sz="4" w:space="0"/>
              <w:left w:val="single" w:color="000000" w:sz="4" w:space="0"/>
              <w:bottom w:val="single" w:color="000000" w:sz="4" w:space="0"/>
              <w:right w:val="single" w:color="000000" w:sz="4" w:space="0"/>
            </w:tcBorders>
            <w:vAlign w:val="center"/>
          </w:tcPr>
          <w:p w14:paraId="188DE65A">
            <w:pPr>
              <w:widowControl/>
              <w:jc w:val="center"/>
              <w:textAlignment w:val="center"/>
              <w:rPr>
                <w:rFonts w:hint="eastAsia" w:ascii="宋体" w:hAnsi="宋体" w:eastAsia="宋体" w:cs="宋体"/>
                <w:color w:val="000000"/>
                <w:kern w:val="0"/>
                <w:sz w:val="20"/>
              </w:rPr>
            </w:pPr>
          </w:p>
        </w:tc>
        <w:tc>
          <w:tcPr>
            <w:tcW w:w="1768" w:type="dxa"/>
            <w:tcBorders>
              <w:top w:val="single" w:color="000000" w:sz="4" w:space="0"/>
              <w:left w:val="single" w:color="000000" w:sz="4" w:space="0"/>
              <w:bottom w:val="single" w:color="000000" w:sz="4" w:space="0"/>
              <w:right w:val="single" w:color="000000" w:sz="4" w:space="0"/>
            </w:tcBorders>
            <w:vAlign w:val="center"/>
          </w:tcPr>
          <w:p w14:paraId="59262FB7">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质量指标</w:t>
            </w:r>
          </w:p>
        </w:tc>
        <w:tc>
          <w:tcPr>
            <w:tcW w:w="1765" w:type="dxa"/>
            <w:tcBorders>
              <w:top w:val="single" w:color="000000" w:sz="4" w:space="0"/>
              <w:left w:val="single" w:color="000000" w:sz="4" w:space="0"/>
              <w:bottom w:val="single" w:color="000000" w:sz="4" w:space="0"/>
              <w:right w:val="single" w:color="000000" w:sz="4" w:space="0"/>
            </w:tcBorders>
            <w:vAlign w:val="center"/>
          </w:tcPr>
          <w:p w14:paraId="0B59AA09">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监督审核202</w:t>
            </w:r>
            <w:r>
              <w:rPr>
                <w:rFonts w:hint="eastAsia" w:ascii="宋体" w:hAnsi="宋体" w:eastAsia="宋体" w:cs="宋体"/>
                <w:color w:val="000000"/>
                <w:kern w:val="0"/>
                <w:sz w:val="20"/>
                <w:lang w:val="en-US" w:eastAsia="zh-CN"/>
              </w:rPr>
              <w:t>6</w:t>
            </w:r>
            <w:r>
              <w:rPr>
                <w:rFonts w:hint="eastAsia" w:ascii="宋体" w:hAnsi="宋体" w:eastAsia="宋体" w:cs="宋体"/>
                <w:color w:val="000000"/>
                <w:kern w:val="0"/>
                <w:sz w:val="20"/>
              </w:rPr>
              <w:t>年各核算单位各项财务支出安全合规。</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173D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r>
      <w:tr w14:paraId="30B3A270">
        <w:tblPrEx>
          <w:tblCellMar>
            <w:top w:w="0" w:type="dxa"/>
            <w:left w:w="108" w:type="dxa"/>
            <w:bottom w:w="0" w:type="dxa"/>
            <w:right w:w="108" w:type="dxa"/>
          </w:tblCellMar>
        </w:tblPrEx>
        <w:trPr>
          <w:trHeight w:val="410" w:hRule="atLeast"/>
        </w:trPr>
        <w:tc>
          <w:tcPr>
            <w:tcW w:w="1531" w:type="dxa"/>
            <w:vMerge w:val="continue"/>
            <w:tcBorders>
              <w:top w:val="single" w:color="000000" w:sz="4" w:space="0"/>
              <w:left w:val="single" w:color="000000" w:sz="4" w:space="0"/>
              <w:bottom w:val="single" w:color="000000" w:sz="4" w:space="0"/>
              <w:right w:val="single" w:color="000000" w:sz="4" w:space="0"/>
            </w:tcBorders>
            <w:vAlign w:val="center"/>
          </w:tcPr>
          <w:p w14:paraId="73F99F89">
            <w:pPr>
              <w:widowControl/>
              <w:jc w:val="center"/>
              <w:textAlignment w:val="center"/>
              <w:rPr>
                <w:rFonts w:hint="eastAsia" w:ascii="宋体" w:hAnsi="宋体" w:eastAsia="宋体" w:cs="宋体"/>
                <w:color w:val="000000"/>
                <w:kern w:val="0"/>
                <w:sz w:val="20"/>
              </w:rPr>
            </w:pPr>
          </w:p>
        </w:tc>
        <w:tc>
          <w:tcPr>
            <w:tcW w:w="1765" w:type="dxa"/>
            <w:vMerge w:val="continue"/>
            <w:tcBorders>
              <w:top w:val="single" w:color="000000" w:sz="4" w:space="0"/>
              <w:left w:val="single" w:color="000000" w:sz="4" w:space="0"/>
              <w:bottom w:val="single" w:color="000000" w:sz="4" w:space="0"/>
              <w:right w:val="single" w:color="000000" w:sz="4" w:space="0"/>
            </w:tcBorders>
            <w:vAlign w:val="center"/>
          </w:tcPr>
          <w:p w14:paraId="157434BF">
            <w:pPr>
              <w:widowControl/>
              <w:jc w:val="center"/>
              <w:textAlignment w:val="center"/>
              <w:rPr>
                <w:rFonts w:hint="eastAsia" w:ascii="宋体" w:hAnsi="宋体" w:eastAsia="宋体" w:cs="宋体"/>
                <w:color w:val="000000"/>
                <w:kern w:val="0"/>
                <w:sz w:val="20"/>
              </w:rPr>
            </w:pPr>
          </w:p>
        </w:tc>
        <w:tc>
          <w:tcPr>
            <w:tcW w:w="1768" w:type="dxa"/>
            <w:tcBorders>
              <w:top w:val="single" w:color="000000" w:sz="4" w:space="0"/>
              <w:left w:val="single" w:color="000000" w:sz="4" w:space="0"/>
              <w:bottom w:val="single" w:color="000000" w:sz="4" w:space="0"/>
              <w:right w:val="single" w:color="000000" w:sz="4" w:space="0"/>
            </w:tcBorders>
            <w:vAlign w:val="center"/>
          </w:tcPr>
          <w:p w14:paraId="253C44B7">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成本指标</w:t>
            </w:r>
          </w:p>
        </w:tc>
        <w:tc>
          <w:tcPr>
            <w:tcW w:w="1765" w:type="dxa"/>
            <w:tcBorders>
              <w:top w:val="single" w:color="000000" w:sz="4" w:space="0"/>
              <w:left w:val="single" w:color="000000" w:sz="4" w:space="0"/>
              <w:bottom w:val="single" w:color="000000" w:sz="4" w:space="0"/>
              <w:right w:val="single" w:color="000000" w:sz="4" w:space="0"/>
            </w:tcBorders>
            <w:vAlign w:val="center"/>
          </w:tcPr>
          <w:p w14:paraId="6C94C761">
            <w:pPr>
              <w:widowControl/>
              <w:jc w:val="center"/>
              <w:textAlignment w:val="center"/>
              <w:rPr>
                <w:rFonts w:hint="eastAsia" w:ascii="宋体" w:hAnsi="宋体" w:eastAsia="宋体" w:cs="宋体"/>
                <w:color w:val="000000"/>
                <w:kern w:val="0"/>
                <w:sz w:val="20"/>
              </w:rPr>
            </w:pPr>
          </w:p>
        </w:tc>
        <w:tc>
          <w:tcPr>
            <w:tcW w:w="1771" w:type="dxa"/>
            <w:tcBorders>
              <w:top w:val="single" w:color="000000" w:sz="4" w:space="0"/>
              <w:left w:val="single" w:color="000000" w:sz="4" w:space="0"/>
              <w:bottom w:val="single" w:color="000000" w:sz="4" w:space="0"/>
              <w:right w:val="single" w:color="000000" w:sz="4" w:space="0"/>
            </w:tcBorders>
            <w:vAlign w:val="center"/>
          </w:tcPr>
          <w:p w14:paraId="5D9ACE84">
            <w:pPr>
              <w:widowControl/>
              <w:jc w:val="center"/>
              <w:textAlignment w:val="center"/>
              <w:rPr>
                <w:rFonts w:hint="eastAsia" w:ascii="宋体" w:hAnsi="宋体" w:eastAsia="宋体" w:cs="宋体"/>
                <w:color w:val="000000"/>
                <w:kern w:val="0"/>
                <w:sz w:val="20"/>
                <w:szCs w:val="20"/>
              </w:rPr>
            </w:pPr>
          </w:p>
        </w:tc>
      </w:tr>
      <w:tr w14:paraId="6C930C1C">
        <w:tblPrEx>
          <w:tblCellMar>
            <w:top w:w="0" w:type="dxa"/>
            <w:left w:w="108" w:type="dxa"/>
            <w:bottom w:w="0" w:type="dxa"/>
            <w:right w:w="108" w:type="dxa"/>
          </w:tblCellMar>
        </w:tblPrEx>
        <w:trPr>
          <w:trHeight w:val="410" w:hRule="atLeast"/>
        </w:trPr>
        <w:tc>
          <w:tcPr>
            <w:tcW w:w="1531" w:type="dxa"/>
            <w:vMerge w:val="continue"/>
            <w:tcBorders>
              <w:top w:val="single" w:color="000000" w:sz="4" w:space="0"/>
              <w:left w:val="single" w:color="000000" w:sz="4" w:space="0"/>
              <w:bottom w:val="single" w:color="000000" w:sz="4" w:space="0"/>
              <w:right w:val="single" w:color="000000" w:sz="4" w:space="0"/>
            </w:tcBorders>
            <w:vAlign w:val="center"/>
          </w:tcPr>
          <w:p w14:paraId="358EB20E">
            <w:pPr>
              <w:widowControl/>
              <w:jc w:val="center"/>
              <w:textAlignment w:val="center"/>
              <w:rPr>
                <w:rFonts w:hint="eastAsia" w:ascii="宋体" w:hAnsi="宋体" w:eastAsia="宋体" w:cs="宋体"/>
                <w:color w:val="000000"/>
                <w:kern w:val="0"/>
                <w:sz w:val="20"/>
              </w:rPr>
            </w:pPr>
          </w:p>
        </w:tc>
        <w:tc>
          <w:tcPr>
            <w:tcW w:w="1765" w:type="dxa"/>
            <w:vMerge w:val="continue"/>
            <w:tcBorders>
              <w:top w:val="single" w:color="000000" w:sz="4" w:space="0"/>
              <w:left w:val="single" w:color="000000" w:sz="4" w:space="0"/>
              <w:bottom w:val="single" w:color="000000" w:sz="4" w:space="0"/>
              <w:right w:val="single" w:color="000000" w:sz="4" w:space="0"/>
            </w:tcBorders>
            <w:vAlign w:val="center"/>
          </w:tcPr>
          <w:p w14:paraId="09E52FAD">
            <w:pPr>
              <w:widowControl/>
              <w:jc w:val="center"/>
              <w:textAlignment w:val="center"/>
              <w:rPr>
                <w:rFonts w:hint="eastAsia" w:ascii="宋体" w:hAnsi="宋体" w:eastAsia="宋体" w:cs="宋体"/>
                <w:color w:val="000000"/>
                <w:kern w:val="0"/>
                <w:sz w:val="20"/>
              </w:rPr>
            </w:pPr>
          </w:p>
        </w:tc>
        <w:tc>
          <w:tcPr>
            <w:tcW w:w="1768" w:type="dxa"/>
            <w:tcBorders>
              <w:top w:val="single" w:color="000000" w:sz="4" w:space="0"/>
              <w:left w:val="single" w:color="000000" w:sz="4" w:space="0"/>
              <w:bottom w:val="single" w:color="000000" w:sz="4" w:space="0"/>
              <w:right w:val="single" w:color="000000" w:sz="4" w:space="0"/>
            </w:tcBorders>
            <w:vAlign w:val="center"/>
          </w:tcPr>
          <w:p w14:paraId="36AB6206">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时效指标</w:t>
            </w:r>
          </w:p>
        </w:tc>
        <w:tc>
          <w:tcPr>
            <w:tcW w:w="1765" w:type="dxa"/>
            <w:tcBorders>
              <w:top w:val="single" w:color="000000" w:sz="4" w:space="0"/>
              <w:left w:val="single" w:color="000000" w:sz="4" w:space="0"/>
              <w:bottom w:val="single" w:color="000000" w:sz="4" w:space="0"/>
              <w:right w:val="single" w:color="000000" w:sz="4" w:space="0"/>
            </w:tcBorders>
            <w:vAlign w:val="center"/>
          </w:tcPr>
          <w:p w14:paraId="37FDAAC1">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优化资金支付流程，缩短审核报销时效，提高服务能力和管理水平。</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0127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正增长</w:t>
            </w:r>
          </w:p>
        </w:tc>
      </w:tr>
      <w:tr w14:paraId="6B62B8DC">
        <w:tblPrEx>
          <w:tblCellMar>
            <w:top w:w="0" w:type="dxa"/>
            <w:left w:w="108" w:type="dxa"/>
            <w:bottom w:w="0" w:type="dxa"/>
            <w:right w:w="108" w:type="dxa"/>
          </w:tblCellMar>
        </w:tblPrEx>
        <w:trPr>
          <w:trHeight w:val="809" w:hRule="atLeast"/>
        </w:trPr>
        <w:tc>
          <w:tcPr>
            <w:tcW w:w="1531" w:type="dxa"/>
            <w:vMerge w:val="continue"/>
            <w:tcBorders>
              <w:top w:val="single" w:color="000000" w:sz="4" w:space="0"/>
              <w:left w:val="single" w:color="000000" w:sz="4" w:space="0"/>
              <w:bottom w:val="single" w:color="000000" w:sz="4" w:space="0"/>
              <w:right w:val="single" w:color="000000" w:sz="4" w:space="0"/>
            </w:tcBorders>
            <w:vAlign w:val="center"/>
          </w:tcPr>
          <w:p w14:paraId="78DBA235">
            <w:pPr>
              <w:widowControl/>
              <w:jc w:val="center"/>
              <w:textAlignment w:val="center"/>
              <w:rPr>
                <w:rFonts w:hint="eastAsia" w:ascii="宋体" w:hAnsi="宋体" w:eastAsia="宋体" w:cs="宋体"/>
                <w:color w:val="000000"/>
                <w:kern w:val="0"/>
                <w:sz w:val="20"/>
              </w:rPr>
            </w:pPr>
          </w:p>
        </w:tc>
        <w:tc>
          <w:tcPr>
            <w:tcW w:w="1765" w:type="dxa"/>
            <w:vMerge w:val="restart"/>
            <w:tcBorders>
              <w:top w:val="single" w:color="000000" w:sz="4" w:space="0"/>
              <w:left w:val="single" w:color="000000" w:sz="4" w:space="0"/>
              <w:bottom w:val="single" w:color="000000" w:sz="4" w:space="0"/>
              <w:right w:val="single" w:color="000000" w:sz="4" w:space="0"/>
            </w:tcBorders>
            <w:vAlign w:val="center"/>
          </w:tcPr>
          <w:p w14:paraId="3A4CB5C5">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效果指标</w:t>
            </w:r>
          </w:p>
        </w:tc>
        <w:tc>
          <w:tcPr>
            <w:tcW w:w="1768" w:type="dxa"/>
            <w:tcBorders>
              <w:top w:val="single" w:color="000000" w:sz="4" w:space="0"/>
              <w:left w:val="single" w:color="000000" w:sz="4" w:space="0"/>
              <w:bottom w:val="single" w:color="000000" w:sz="4" w:space="0"/>
              <w:right w:val="single" w:color="000000" w:sz="4" w:space="0"/>
            </w:tcBorders>
            <w:vAlign w:val="center"/>
          </w:tcPr>
          <w:p w14:paraId="7A386F89">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经济效益指标</w:t>
            </w:r>
          </w:p>
        </w:tc>
        <w:tc>
          <w:tcPr>
            <w:tcW w:w="1765" w:type="dxa"/>
            <w:tcBorders>
              <w:top w:val="single" w:color="000000" w:sz="4" w:space="0"/>
              <w:left w:val="single" w:color="000000" w:sz="4" w:space="0"/>
              <w:bottom w:val="single" w:color="000000" w:sz="4" w:space="0"/>
              <w:right w:val="single" w:color="000000" w:sz="4" w:space="0"/>
            </w:tcBorders>
            <w:vAlign w:val="center"/>
          </w:tcPr>
          <w:p w14:paraId="5F4F46A5">
            <w:pPr>
              <w:widowControl/>
              <w:jc w:val="center"/>
              <w:textAlignment w:val="center"/>
              <w:rPr>
                <w:rFonts w:hint="eastAsia" w:ascii="宋体" w:hAnsi="宋体" w:eastAsia="宋体" w:cs="宋体"/>
                <w:color w:val="000000"/>
                <w:kern w:val="0"/>
                <w:sz w:val="20"/>
              </w:rPr>
            </w:pPr>
          </w:p>
        </w:tc>
        <w:tc>
          <w:tcPr>
            <w:tcW w:w="1771" w:type="dxa"/>
            <w:tcBorders>
              <w:top w:val="single" w:color="000000" w:sz="4" w:space="0"/>
              <w:left w:val="single" w:color="000000" w:sz="4" w:space="0"/>
              <w:bottom w:val="single" w:color="000000" w:sz="4" w:space="0"/>
              <w:right w:val="single" w:color="000000" w:sz="4" w:space="0"/>
            </w:tcBorders>
            <w:vAlign w:val="center"/>
          </w:tcPr>
          <w:p w14:paraId="0B92D2F8">
            <w:pPr>
              <w:widowControl/>
              <w:jc w:val="center"/>
              <w:textAlignment w:val="center"/>
              <w:rPr>
                <w:rFonts w:hint="eastAsia" w:ascii="宋体" w:hAnsi="宋体" w:eastAsia="宋体" w:cs="宋体"/>
                <w:color w:val="000000"/>
                <w:kern w:val="0"/>
                <w:sz w:val="20"/>
                <w:szCs w:val="20"/>
              </w:rPr>
            </w:pPr>
          </w:p>
        </w:tc>
      </w:tr>
      <w:tr w14:paraId="10EBBEA0">
        <w:tblPrEx>
          <w:tblCellMar>
            <w:top w:w="0" w:type="dxa"/>
            <w:left w:w="108" w:type="dxa"/>
            <w:bottom w:w="0" w:type="dxa"/>
            <w:right w:w="108" w:type="dxa"/>
          </w:tblCellMar>
        </w:tblPrEx>
        <w:trPr>
          <w:trHeight w:val="809" w:hRule="atLeast"/>
        </w:trPr>
        <w:tc>
          <w:tcPr>
            <w:tcW w:w="1531" w:type="dxa"/>
            <w:vMerge w:val="continue"/>
            <w:tcBorders>
              <w:top w:val="single" w:color="000000" w:sz="4" w:space="0"/>
              <w:left w:val="single" w:color="000000" w:sz="4" w:space="0"/>
              <w:bottom w:val="single" w:color="000000" w:sz="4" w:space="0"/>
              <w:right w:val="single" w:color="000000" w:sz="4" w:space="0"/>
            </w:tcBorders>
            <w:vAlign w:val="center"/>
          </w:tcPr>
          <w:p w14:paraId="65E0C05E">
            <w:pPr>
              <w:widowControl/>
              <w:jc w:val="center"/>
              <w:textAlignment w:val="center"/>
              <w:rPr>
                <w:rFonts w:hint="eastAsia" w:ascii="宋体" w:hAnsi="宋体" w:eastAsia="宋体" w:cs="宋体"/>
                <w:color w:val="000000"/>
                <w:kern w:val="0"/>
                <w:sz w:val="20"/>
              </w:rPr>
            </w:pPr>
          </w:p>
        </w:tc>
        <w:tc>
          <w:tcPr>
            <w:tcW w:w="1765" w:type="dxa"/>
            <w:vMerge w:val="continue"/>
            <w:tcBorders>
              <w:top w:val="single" w:color="000000" w:sz="4" w:space="0"/>
              <w:left w:val="single" w:color="000000" w:sz="4" w:space="0"/>
              <w:bottom w:val="single" w:color="000000" w:sz="4" w:space="0"/>
              <w:right w:val="single" w:color="000000" w:sz="4" w:space="0"/>
            </w:tcBorders>
            <w:vAlign w:val="center"/>
          </w:tcPr>
          <w:p w14:paraId="701A73C3">
            <w:pPr>
              <w:widowControl/>
              <w:jc w:val="center"/>
              <w:textAlignment w:val="center"/>
              <w:rPr>
                <w:rFonts w:hint="eastAsia" w:ascii="宋体" w:hAnsi="宋体" w:eastAsia="宋体" w:cs="宋体"/>
                <w:color w:val="000000"/>
                <w:kern w:val="0"/>
                <w:sz w:val="20"/>
              </w:rPr>
            </w:pPr>
          </w:p>
        </w:tc>
        <w:tc>
          <w:tcPr>
            <w:tcW w:w="1768" w:type="dxa"/>
            <w:tcBorders>
              <w:top w:val="single" w:color="000000" w:sz="4" w:space="0"/>
              <w:left w:val="single" w:color="000000" w:sz="4" w:space="0"/>
              <w:bottom w:val="single" w:color="000000" w:sz="4" w:space="0"/>
              <w:right w:val="single" w:color="000000" w:sz="4" w:space="0"/>
            </w:tcBorders>
            <w:vAlign w:val="center"/>
          </w:tcPr>
          <w:p w14:paraId="7FE6D33F">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社会效益指标</w:t>
            </w:r>
          </w:p>
        </w:tc>
        <w:tc>
          <w:tcPr>
            <w:tcW w:w="1765" w:type="dxa"/>
            <w:tcBorders>
              <w:top w:val="single" w:color="000000" w:sz="4" w:space="0"/>
              <w:left w:val="single" w:color="000000" w:sz="4" w:space="0"/>
              <w:bottom w:val="single" w:color="000000" w:sz="4" w:space="0"/>
              <w:right w:val="single" w:color="000000" w:sz="4" w:space="0"/>
            </w:tcBorders>
            <w:vAlign w:val="center"/>
          </w:tcPr>
          <w:p w14:paraId="38656CEE">
            <w:pPr>
              <w:widowControl/>
              <w:jc w:val="center"/>
              <w:textAlignment w:val="center"/>
              <w:rPr>
                <w:rFonts w:hint="eastAsia" w:ascii="宋体" w:hAnsi="宋体" w:eastAsia="宋体" w:cs="宋体"/>
                <w:color w:val="000000"/>
                <w:kern w:val="0"/>
                <w:sz w:val="20"/>
              </w:rPr>
            </w:pPr>
          </w:p>
        </w:tc>
        <w:tc>
          <w:tcPr>
            <w:tcW w:w="1771" w:type="dxa"/>
            <w:tcBorders>
              <w:top w:val="single" w:color="000000" w:sz="4" w:space="0"/>
              <w:left w:val="single" w:color="000000" w:sz="4" w:space="0"/>
              <w:bottom w:val="single" w:color="000000" w:sz="4" w:space="0"/>
              <w:right w:val="single" w:color="000000" w:sz="4" w:space="0"/>
            </w:tcBorders>
            <w:vAlign w:val="center"/>
          </w:tcPr>
          <w:p w14:paraId="3F215976">
            <w:pPr>
              <w:widowControl/>
              <w:jc w:val="center"/>
              <w:textAlignment w:val="center"/>
              <w:rPr>
                <w:rFonts w:hint="eastAsia" w:ascii="宋体" w:hAnsi="宋体" w:eastAsia="宋体" w:cs="宋体"/>
                <w:color w:val="000000"/>
                <w:kern w:val="0"/>
                <w:sz w:val="20"/>
                <w:szCs w:val="20"/>
              </w:rPr>
            </w:pPr>
          </w:p>
        </w:tc>
      </w:tr>
      <w:tr w14:paraId="4F9D2E69">
        <w:tblPrEx>
          <w:tblCellMar>
            <w:top w:w="0" w:type="dxa"/>
            <w:left w:w="108" w:type="dxa"/>
            <w:bottom w:w="0" w:type="dxa"/>
            <w:right w:w="108" w:type="dxa"/>
          </w:tblCellMar>
        </w:tblPrEx>
        <w:trPr>
          <w:trHeight w:val="809" w:hRule="atLeast"/>
        </w:trPr>
        <w:tc>
          <w:tcPr>
            <w:tcW w:w="1531" w:type="dxa"/>
            <w:vMerge w:val="continue"/>
            <w:tcBorders>
              <w:top w:val="single" w:color="000000" w:sz="4" w:space="0"/>
              <w:left w:val="single" w:color="000000" w:sz="4" w:space="0"/>
              <w:bottom w:val="single" w:color="000000" w:sz="4" w:space="0"/>
              <w:right w:val="single" w:color="000000" w:sz="4" w:space="0"/>
            </w:tcBorders>
            <w:vAlign w:val="center"/>
          </w:tcPr>
          <w:p w14:paraId="4A0E4F07">
            <w:pPr>
              <w:widowControl/>
              <w:jc w:val="center"/>
              <w:textAlignment w:val="center"/>
              <w:rPr>
                <w:rFonts w:hint="eastAsia" w:ascii="宋体" w:hAnsi="宋体" w:eastAsia="宋体" w:cs="宋体"/>
                <w:color w:val="000000"/>
                <w:kern w:val="0"/>
                <w:sz w:val="20"/>
              </w:rPr>
            </w:pPr>
          </w:p>
        </w:tc>
        <w:tc>
          <w:tcPr>
            <w:tcW w:w="1765" w:type="dxa"/>
            <w:vMerge w:val="continue"/>
            <w:tcBorders>
              <w:top w:val="single" w:color="000000" w:sz="4" w:space="0"/>
              <w:left w:val="single" w:color="000000" w:sz="4" w:space="0"/>
              <w:bottom w:val="single" w:color="000000" w:sz="4" w:space="0"/>
              <w:right w:val="single" w:color="000000" w:sz="4" w:space="0"/>
            </w:tcBorders>
            <w:vAlign w:val="center"/>
          </w:tcPr>
          <w:p w14:paraId="70A7A221">
            <w:pPr>
              <w:widowControl/>
              <w:jc w:val="center"/>
              <w:textAlignment w:val="center"/>
              <w:rPr>
                <w:rFonts w:hint="eastAsia" w:ascii="宋体" w:hAnsi="宋体" w:eastAsia="宋体" w:cs="宋体"/>
                <w:color w:val="000000"/>
                <w:kern w:val="0"/>
                <w:sz w:val="20"/>
              </w:rPr>
            </w:pPr>
          </w:p>
        </w:tc>
        <w:tc>
          <w:tcPr>
            <w:tcW w:w="1768" w:type="dxa"/>
            <w:tcBorders>
              <w:top w:val="single" w:color="000000" w:sz="4" w:space="0"/>
              <w:left w:val="single" w:color="000000" w:sz="4" w:space="0"/>
              <w:bottom w:val="single" w:color="000000" w:sz="4" w:space="0"/>
              <w:right w:val="single" w:color="000000" w:sz="4" w:space="0"/>
            </w:tcBorders>
            <w:vAlign w:val="center"/>
          </w:tcPr>
          <w:p w14:paraId="71CA2A2B">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生态效益指标</w:t>
            </w:r>
          </w:p>
        </w:tc>
        <w:tc>
          <w:tcPr>
            <w:tcW w:w="1765" w:type="dxa"/>
            <w:tcBorders>
              <w:top w:val="single" w:color="000000" w:sz="4" w:space="0"/>
              <w:left w:val="single" w:color="000000" w:sz="4" w:space="0"/>
              <w:bottom w:val="single" w:color="000000" w:sz="4" w:space="0"/>
              <w:right w:val="single" w:color="000000" w:sz="4" w:space="0"/>
            </w:tcBorders>
            <w:vAlign w:val="center"/>
          </w:tcPr>
          <w:p w14:paraId="6A185C20">
            <w:pPr>
              <w:widowControl/>
              <w:jc w:val="center"/>
              <w:textAlignment w:val="center"/>
              <w:rPr>
                <w:rFonts w:hint="eastAsia" w:ascii="宋体" w:hAnsi="宋体" w:eastAsia="宋体" w:cs="宋体"/>
                <w:color w:val="000000"/>
                <w:kern w:val="0"/>
                <w:sz w:val="20"/>
              </w:rPr>
            </w:pPr>
          </w:p>
        </w:tc>
        <w:tc>
          <w:tcPr>
            <w:tcW w:w="1771" w:type="dxa"/>
            <w:tcBorders>
              <w:top w:val="single" w:color="000000" w:sz="4" w:space="0"/>
              <w:left w:val="single" w:color="000000" w:sz="4" w:space="0"/>
              <w:bottom w:val="single" w:color="000000" w:sz="4" w:space="0"/>
              <w:right w:val="single" w:color="000000" w:sz="4" w:space="0"/>
            </w:tcBorders>
            <w:vAlign w:val="center"/>
          </w:tcPr>
          <w:p w14:paraId="6DA73C65">
            <w:pPr>
              <w:widowControl/>
              <w:jc w:val="center"/>
              <w:textAlignment w:val="center"/>
              <w:rPr>
                <w:rFonts w:hint="eastAsia" w:ascii="宋体" w:hAnsi="宋体" w:eastAsia="宋体" w:cs="宋体"/>
                <w:color w:val="000000"/>
                <w:kern w:val="0"/>
                <w:sz w:val="20"/>
                <w:szCs w:val="20"/>
              </w:rPr>
            </w:pPr>
          </w:p>
        </w:tc>
      </w:tr>
      <w:tr w14:paraId="6882EDEB">
        <w:tblPrEx>
          <w:tblCellMar>
            <w:top w:w="0" w:type="dxa"/>
            <w:left w:w="108" w:type="dxa"/>
            <w:bottom w:w="0" w:type="dxa"/>
            <w:right w:w="108" w:type="dxa"/>
          </w:tblCellMar>
        </w:tblPrEx>
        <w:trPr>
          <w:trHeight w:val="1218" w:hRule="atLeast"/>
        </w:trPr>
        <w:tc>
          <w:tcPr>
            <w:tcW w:w="1531" w:type="dxa"/>
            <w:vMerge w:val="continue"/>
            <w:tcBorders>
              <w:top w:val="single" w:color="000000" w:sz="4" w:space="0"/>
              <w:left w:val="single" w:color="000000" w:sz="4" w:space="0"/>
              <w:bottom w:val="single" w:color="000000" w:sz="4" w:space="0"/>
              <w:right w:val="single" w:color="000000" w:sz="4" w:space="0"/>
            </w:tcBorders>
            <w:vAlign w:val="center"/>
          </w:tcPr>
          <w:p w14:paraId="02128813">
            <w:pPr>
              <w:widowControl/>
              <w:jc w:val="center"/>
              <w:textAlignment w:val="center"/>
              <w:rPr>
                <w:rFonts w:hint="eastAsia" w:ascii="宋体" w:hAnsi="宋体" w:eastAsia="宋体" w:cs="宋体"/>
                <w:color w:val="000000"/>
                <w:kern w:val="0"/>
                <w:sz w:val="20"/>
              </w:rPr>
            </w:pPr>
          </w:p>
        </w:tc>
        <w:tc>
          <w:tcPr>
            <w:tcW w:w="1765" w:type="dxa"/>
            <w:vMerge w:val="continue"/>
            <w:tcBorders>
              <w:top w:val="single" w:color="000000" w:sz="4" w:space="0"/>
              <w:left w:val="single" w:color="000000" w:sz="4" w:space="0"/>
              <w:bottom w:val="single" w:color="000000" w:sz="4" w:space="0"/>
              <w:right w:val="single" w:color="000000" w:sz="4" w:space="0"/>
            </w:tcBorders>
            <w:vAlign w:val="center"/>
          </w:tcPr>
          <w:p w14:paraId="20233703">
            <w:pPr>
              <w:widowControl/>
              <w:jc w:val="center"/>
              <w:textAlignment w:val="center"/>
              <w:rPr>
                <w:rFonts w:hint="eastAsia" w:ascii="宋体" w:hAnsi="宋体" w:eastAsia="宋体" w:cs="宋体"/>
                <w:color w:val="000000"/>
                <w:kern w:val="0"/>
                <w:sz w:val="20"/>
              </w:rPr>
            </w:pPr>
          </w:p>
        </w:tc>
        <w:tc>
          <w:tcPr>
            <w:tcW w:w="1768" w:type="dxa"/>
            <w:tcBorders>
              <w:top w:val="single" w:color="000000" w:sz="4" w:space="0"/>
              <w:left w:val="single" w:color="000000" w:sz="4" w:space="0"/>
              <w:bottom w:val="single" w:color="000000" w:sz="4" w:space="0"/>
              <w:right w:val="single" w:color="000000" w:sz="4" w:space="0"/>
            </w:tcBorders>
            <w:vAlign w:val="center"/>
          </w:tcPr>
          <w:p w14:paraId="243C4631">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可持续影响指标</w:t>
            </w:r>
          </w:p>
        </w:tc>
        <w:tc>
          <w:tcPr>
            <w:tcW w:w="1765" w:type="dxa"/>
            <w:tcBorders>
              <w:top w:val="single" w:color="000000" w:sz="4" w:space="0"/>
              <w:left w:val="single" w:color="000000" w:sz="4" w:space="0"/>
              <w:bottom w:val="single" w:color="000000" w:sz="4" w:space="0"/>
              <w:right w:val="single" w:color="000000" w:sz="4" w:space="0"/>
            </w:tcBorders>
            <w:vAlign w:val="center"/>
          </w:tcPr>
          <w:p w14:paraId="032322CE">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结算中心全年财务凭证装订及存档率</w:t>
            </w:r>
          </w:p>
        </w:tc>
        <w:tc>
          <w:tcPr>
            <w:tcW w:w="1771" w:type="dxa"/>
            <w:tcBorders>
              <w:top w:val="single" w:color="000000" w:sz="4" w:space="0"/>
              <w:left w:val="single" w:color="000000" w:sz="4" w:space="0"/>
              <w:bottom w:val="single" w:color="000000" w:sz="4" w:space="0"/>
              <w:right w:val="single" w:color="000000" w:sz="4" w:space="0"/>
            </w:tcBorders>
            <w:vAlign w:val="center"/>
          </w:tcPr>
          <w:p w14:paraId="089B49F1">
            <w:pPr>
              <w:widowControl/>
              <w:jc w:val="center"/>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》100分</w:t>
            </w:r>
          </w:p>
        </w:tc>
      </w:tr>
      <w:tr w14:paraId="11B58B10">
        <w:tblPrEx>
          <w:tblCellMar>
            <w:top w:w="0" w:type="dxa"/>
            <w:left w:w="108" w:type="dxa"/>
            <w:bottom w:w="0" w:type="dxa"/>
            <w:right w:w="108" w:type="dxa"/>
          </w:tblCellMar>
        </w:tblPrEx>
        <w:trPr>
          <w:trHeight w:val="625" w:hRule="atLeast"/>
        </w:trPr>
        <w:tc>
          <w:tcPr>
            <w:tcW w:w="1531" w:type="dxa"/>
            <w:vMerge w:val="continue"/>
            <w:tcBorders>
              <w:top w:val="single" w:color="000000" w:sz="4" w:space="0"/>
              <w:left w:val="single" w:color="000000" w:sz="4" w:space="0"/>
              <w:bottom w:val="single" w:color="000000" w:sz="4" w:space="0"/>
              <w:right w:val="single" w:color="000000" w:sz="4" w:space="0"/>
            </w:tcBorders>
            <w:vAlign w:val="center"/>
          </w:tcPr>
          <w:p w14:paraId="1F60C6D0">
            <w:pPr>
              <w:jc w:val="center"/>
              <w:rPr>
                <w:rFonts w:ascii="华文细黑" w:hAnsi="华文细黑" w:eastAsia="华文细黑" w:cs="华文细黑"/>
                <w:color w:val="000000"/>
                <w:sz w:val="20"/>
              </w:rPr>
            </w:pPr>
          </w:p>
        </w:tc>
        <w:tc>
          <w:tcPr>
            <w:tcW w:w="1765" w:type="dxa"/>
            <w:vMerge w:val="continue"/>
            <w:tcBorders>
              <w:top w:val="single" w:color="000000" w:sz="4" w:space="0"/>
              <w:left w:val="single" w:color="000000" w:sz="4" w:space="0"/>
              <w:bottom w:val="single" w:color="000000" w:sz="4" w:space="0"/>
              <w:right w:val="single" w:color="000000" w:sz="4" w:space="0"/>
            </w:tcBorders>
            <w:vAlign w:val="center"/>
          </w:tcPr>
          <w:p w14:paraId="5502AF4F">
            <w:pPr>
              <w:jc w:val="center"/>
              <w:rPr>
                <w:rFonts w:ascii="华文细黑" w:hAnsi="华文细黑" w:eastAsia="华文细黑" w:cs="华文细黑"/>
                <w:color w:val="000000"/>
                <w:sz w:val="20"/>
              </w:rPr>
            </w:pPr>
          </w:p>
        </w:tc>
        <w:tc>
          <w:tcPr>
            <w:tcW w:w="1768" w:type="dxa"/>
            <w:tcBorders>
              <w:top w:val="single" w:color="000000" w:sz="4" w:space="0"/>
              <w:left w:val="single" w:color="000000" w:sz="4" w:space="0"/>
              <w:bottom w:val="single" w:color="000000" w:sz="4" w:space="0"/>
              <w:right w:val="single" w:color="000000" w:sz="4" w:space="0"/>
            </w:tcBorders>
            <w:vAlign w:val="center"/>
          </w:tcPr>
          <w:p w14:paraId="3C4EC16B">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满意度指标</w:t>
            </w:r>
          </w:p>
        </w:tc>
        <w:tc>
          <w:tcPr>
            <w:tcW w:w="1765" w:type="dxa"/>
            <w:tcBorders>
              <w:top w:val="single" w:color="000000" w:sz="4" w:space="0"/>
              <w:left w:val="single" w:color="000000" w:sz="4" w:space="0"/>
              <w:bottom w:val="single" w:color="000000" w:sz="4" w:space="0"/>
              <w:right w:val="single" w:color="000000" w:sz="4" w:space="0"/>
            </w:tcBorders>
            <w:vAlign w:val="center"/>
          </w:tcPr>
          <w:p w14:paraId="6164CC85">
            <w:pPr>
              <w:widowControl/>
              <w:jc w:val="center"/>
              <w:textAlignment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服务满意度</w:t>
            </w:r>
          </w:p>
        </w:tc>
        <w:tc>
          <w:tcPr>
            <w:tcW w:w="1771" w:type="dxa"/>
            <w:tcBorders>
              <w:top w:val="single" w:color="000000" w:sz="4" w:space="0"/>
              <w:left w:val="single" w:color="000000" w:sz="4" w:space="0"/>
              <w:bottom w:val="single" w:color="000000" w:sz="4" w:space="0"/>
              <w:right w:val="single" w:color="000000" w:sz="4" w:space="0"/>
            </w:tcBorders>
            <w:vAlign w:val="center"/>
          </w:tcPr>
          <w:p w14:paraId="146B4414">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》100分</w:t>
            </w:r>
          </w:p>
        </w:tc>
      </w:tr>
    </w:tbl>
    <w:p w14:paraId="3E494079">
      <w:pPr>
        <w:jc w:val="both"/>
        <w:rPr>
          <w:rFonts w:eastAsia="黑体"/>
        </w:rPr>
      </w:pPr>
    </w:p>
    <w:tbl>
      <w:tblPr>
        <w:tblStyle w:val="9"/>
        <w:tblW w:w="8600" w:type="dxa"/>
        <w:tblInd w:w="93" w:type="dxa"/>
        <w:tblLayout w:type="autofit"/>
        <w:tblCellMar>
          <w:top w:w="0" w:type="dxa"/>
          <w:left w:w="108" w:type="dxa"/>
          <w:bottom w:w="0" w:type="dxa"/>
          <w:right w:w="108" w:type="dxa"/>
        </w:tblCellMar>
      </w:tblPr>
      <w:tblGrid>
        <w:gridCol w:w="1531"/>
        <w:gridCol w:w="1765"/>
        <w:gridCol w:w="1768"/>
        <w:gridCol w:w="1765"/>
        <w:gridCol w:w="1771"/>
      </w:tblGrid>
      <w:tr w14:paraId="3649071B">
        <w:tblPrEx>
          <w:tblCellMar>
            <w:top w:w="0" w:type="dxa"/>
            <w:left w:w="108" w:type="dxa"/>
            <w:bottom w:w="0" w:type="dxa"/>
            <w:right w:w="108" w:type="dxa"/>
          </w:tblCellMar>
        </w:tblPrEx>
        <w:trPr>
          <w:trHeight w:val="498" w:hRule="atLeast"/>
        </w:trPr>
        <w:tc>
          <w:tcPr>
            <w:tcW w:w="8600" w:type="dxa"/>
            <w:gridSpan w:val="5"/>
            <w:tcBorders>
              <w:top w:val="nil"/>
              <w:left w:val="nil"/>
              <w:bottom w:val="nil"/>
              <w:right w:val="nil"/>
            </w:tcBorders>
            <w:vAlign w:val="center"/>
          </w:tcPr>
          <w:p w14:paraId="62A69A99">
            <w:pPr>
              <w:widowControl/>
              <w:jc w:val="center"/>
              <w:textAlignment w:val="center"/>
              <w:rPr>
                <w:rFonts w:ascii="方正小标宋简体" w:hAnsi="方正小标宋简体" w:eastAsia="方正小标宋简体" w:cs="方正小标宋简体"/>
                <w:color w:val="000000"/>
                <w:sz w:val="44"/>
                <w:szCs w:val="44"/>
              </w:rPr>
            </w:pPr>
            <w:r>
              <w:rPr>
                <w:rFonts w:ascii="方正小标宋简体" w:hAnsi="方正小标宋简体" w:eastAsia="方正小标宋简体" w:cs="方正小标宋简体"/>
                <w:color w:val="000000"/>
                <w:kern w:val="0"/>
                <w:sz w:val="32"/>
                <w:szCs w:val="32"/>
              </w:rPr>
              <w:t>项目支出绩效目标表</w:t>
            </w:r>
          </w:p>
        </w:tc>
      </w:tr>
      <w:tr w14:paraId="7DF5643E">
        <w:tblPrEx>
          <w:tblCellMar>
            <w:top w:w="0" w:type="dxa"/>
            <w:left w:w="108" w:type="dxa"/>
            <w:bottom w:w="0" w:type="dxa"/>
            <w:right w:w="108" w:type="dxa"/>
          </w:tblCellMar>
        </w:tblPrEx>
        <w:trPr>
          <w:trHeight w:val="587" w:hRule="atLeast"/>
        </w:trPr>
        <w:tc>
          <w:tcPr>
            <w:tcW w:w="8600" w:type="dxa"/>
            <w:gridSpan w:val="5"/>
            <w:tcBorders>
              <w:top w:val="nil"/>
              <w:left w:val="nil"/>
              <w:bottom w:val="nil"/>
              <w:right w:val="nil"/>
            </w:tcBorders>
            <w:vAlign w:val="center"/>
          </w:tcPr>
          <w:p w14:paraId="0C0636D1">
            <w:pPr>
              <w:widowControl/>
              <w:jc w:val="left"/>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预算单位：长春经济技术开发区财务结算中心</w:t>
            </w:r>
          </w:p>
          <w:p w14:paraId="45207372">
            <w:pPr>
              <w:widowControl/>
              <w:jc w:val="left"/>
              <w:textAlignment w:val="center"/>
              <w:rPr>
                <w:rFonts w:hint="eastAsia" w:ascii="宋体" w:hAnsi="宋体" w:eastAsia="宋体" w:cs="宋体"/>
                <w:color w:val="000000"/>
                <w:sz w:val="20"/>
                <w:lang w:eastAsia="zh-CN"/>
              </w:rPr>
            </w:pPr>
            <w:r>
              <w:rPr>
                <w:rFonts w:hint="eastAsia" w:ascii="宋体" w:hAnsi="宋体" w:eastAsia="宋体" w:cs="宋体"/>
                <w:color w:val="000000"/>
                <w:kern w:val="0"/>
                <w:sz w:val="20"/>
              </w:rPr>
              <w:t>（长春经济技术开发区国库集中支付中心）</w:t>
            </w:r>
            <w:r>
              <w:rPr>
                <w:rFonts w:hint="eastAsia" w:ascii="宋体" w:hAnsi="宋体" w:eastAsia="宋体" w:cs="宋体"/>
                <w:color w:val="000000"/>
                <w:kern w:val="0"/>
                <w:sz w:val="20"/>
                <w:lang w:val="en-US" w:eastAsia="zh-CN"/>
              </w:rPr>
              <w:t xml:space="preserve">                                    </w:t>
            </w:r>
            <w:r>
              <w:rPr>
                <w:rFonts w:hint="eastAsia" w:ascii="宋体" w:hAnsi="宋体" w:eastAsia="宋体" w:cs="宋体"/>
                <w:color w:val="000000"/>
                <w:kern w:val="0"/>
                <w:sz w:val="20"/>
                <w:lang w:eastAsia="zh-CN"/>
              </w:rPr>
              <w:t>单位：万元</w:t>
            </w:r>
          </w:p>
        </w:tc>
      </w:tr>
      <w:tr w14:paraId="55B853CD">
        <w:tblPrEx>
          <w:tblCellMar>
            <w:top w:w="0" w:type="dxa"/>
            <w:left w:w="108" w:type="dxa"/>
            <w:bottom w:w="0" w:type="dxa"/>
            <w:right w:w="108" w:type="dxa"/>
          </w:tblCellMar>
        </w:tblPrEx>
        <w:trPr>
          <w:trHeight w:val="410" w:hRule="atLeast"/>
        </w:trPr>
        <w:tc>
          <w:tcPr>
            <w:tcW w:w="5064" w:type="dxa"/>
            <w:gridSpan w:val="3"/>
            <w:tcBorders>
              <w:top w:val="single" w:color="000000" w:sz="4" w:space="0"/>
              <w:left w:val="single" w:color="000000" w:sz="4" w:space="0"/>
              <w:bottom w:val="single" w:color="000000" w:sz="4" w:space="0"/>
              <w:right w:val="single" w:color="000000" w:sz="4" w:space="0"/>
            </w:tcBorders>
            <w:vAlign w:val="center"/>
          </w:tcPr>
          <w:p w14:paraId="221230E1">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项目名称</w:t>
            </w:r>
          </w:p>
        </w:tc>
        <w:tc>
          <w:tcPr>
            <w:tcW w:w="35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D8FEE8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系统软件服务费</w:t>
            </w:r>
          </w:p>
        </w:tc>
      </w:tr>
      <w:tr w14:paraId="6E3177B5">
        <w:tblPrEx>
          <w:tblCellMar>
            <w:top w:w="0" w:type="dxa"/>
            <w:left w:w="108" w:type="dxa"/>
            <w:bottom w:w="0" w:type="dxa"/>
            <w:right w:w="108" w:type="dxa"/>
          </w:tblCellMar>
        </w:tblPrEx>
        <w:trPr>
          <w:trHeight w:val="410" w:hRule="atLeast"/>
        </w:trPr>
        <w:tc>
          <w:tcPr>
            <w:tcW w:w="5064" w:type="dxa"/>
            <w:gridSpan w:val="3"/>
            <w:tcBorders>
              <w:top w:val="single" w:color="000000" w:sz="4" w:space="0"/>
              <w:left w:val="single" w:color="000000" w:sz="4" w:space="0"/>
              <w:bottom w:val="single" w:color="000000" w:sz="4" w:space="0"/>
              <w:right w:val="single" w:color="000000" w:sz="4" w:space="0"/>
            </w:tcBorders>
            <w:vAlign w:val="center"/>
          </w:tcPr>
          <w:p w14:paraId="7F568C8A">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项目级次</w:t>
            </w:r>
          </w:p>
        </w:tc>
        <w:tc>
          <w:tcPr>
            <w:tcW w:w="3536" w:type="dxa"/>
            <w:gridSpan w:val="2"/>
            <w:tcBorders>
              <w:top w:val="single" w:color="000000" w:sz="4" w:space="0"/>
              <w:left w:val="single" w:color="000000" w:sz="4" w:space="0"/>
              <w:bottom w:val="single" w:color="000000" w:sz="4" w:space="0"/>
              <w:right w:val="single" w:color="000000" w:sz="4" w:space="0"/>
            </w:tcBorders>
            <w:vAlign w:val="center"/>
          </w:tcPr>
          <w:p w14:paraId="0D40D573">
            <w:pPr>
              <w:widowControl/>
              <w:jc w:val="center"/>
              <w:textAlignment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一级项目</w:t>
            </w:r>
          </w:p>
        </w:tc>
      </w:tr>
      <w:tr w14:paraId="5450C7AC">
        <w:tblPrEx>
          <w:tblCellMar>
            <w:top w:w="0" w:type="dxa"/>
            <w:left w:w="108" w:type="dxa"/>
            <w:bottom w:w="0" w:type="dxa"/>
            <w:right w:w="108" w:type="dxa"/>
          </w:tblCellMar>
        </w:tblPrEx>
        <w:trPr>
          <w:trHeight w:val="410" w:hRule="atLeast"/>
        </w:trPr>
        <w:tc>
          <w:tcPr>
            <w:tcW w:w="1531" w:type="dxa"/>
            <w:tcBorders>
              <w:top w:val="single" w:color="000000" w:sz="4" w:space="0"/>
              <w:left w:val="single" w:color="000000" w:sz="4" w:space="0"/>
              <w:bottom w:val="single" w:color="000000" w:sz="4" w:space="0"/>
              <w:right w:val="single" w:color="000000" w:sz="4" w:space="0"/>
            </w:tcBorders>
            <w:vAlign w:val="center"/>
          </w:tcPr>
          <w:p w14:paraId="77B13D31">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项目资金</w:t>
            </w:r>
          </w:p>
        </w:tc>
        <w:tc>
          <w:tcPr>
            <w:tcW w:w="3533" w:type="dxa"/>
            <w:gridSpan w:val="2"/>
            <w:tcBorders>
              <w:top w:val="single" w:color="000000" w:sz="4" w:space="0"/>
              <w:left w:val="single" w:color="000000" w:sz="4" w:space="0"/>
              <w:bottom w:val="single" w:color="000000" w:sz="4" w:space="0"/>
              <w:right w:val="single" w:color="000000" w:sz="4" w:space="0"/>
            </w:tcBorders>
            <w:vAlign w:val="center"/>
          </w:tcPr>
          <w:p w14:paraId="640F5CA3">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年度资金总额</w:t>
            </w:r>
          </w:p>
        </w:tc>
        <w:tc>
          <w:tcPr>
            <w:tcW w:w="3536" w:type="dxa"/>
            <w:gridSpan w:val="2"/>
            <w:tcBorders>
              <w:top w:val="single" w:color="000000" w:sz="4" w:space="0"/>
              <w:left w:val="single" w:color="000000" w:sz="4" w:space="0"/>
              <w:bottom w:val="single" w:color="000000" w:sz="4" w:space="0"/>
              <w:right w:val="single" w:color="000000" w:sz="4" w:space="0"/>
            </w:tcBorders>
            <w:vAlign w:val="center"/>
          </w:tcPr>
          <w:p w14:paraId="74BAAB30">
            <w:pPr>
              <w:widowControl/>
              <w:jc w:val="center"/>
              <w:textAlignment w:val="center"/>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3.5</w:t>
            </w:r>
          </w:p>
        </w:tc>
      </w:tr>
      <w:tr w14:paraId="5DF15F28">
        <w:tblPrEx>
          <w:tblCellMar>
            <w:top w:w="0" w:type="dxa"/>
            <w:left w:w="108" w:type="dxa"/>
            <w:bottom w:w="0" w:type="dxa"/>
            <w:right w:w="108" w:type="dxa"/>
          </w:tblCellMar>
        </w:tblPrEx>
        <w:trPr>
          <w:trHeight w:val="410" w:hRule="atLeast"/>
        </w:trPr>
        <w:tc>
          <w:tcPr>
            <w:tcW w:w="1531" w:type="dxa"/>
            <w:tcBorders>
              <w:top w:val="single" w:color="000000" w:sz="4" w:space="0"/>
              <w:left w:val="single" w:color="000000" w:sz="4" w:space="0"/>
              <w:bottom w:val="single" w:color="000000" w:sz="4" w:space="0"/>
              <w:right w:val="single" w:color="000000" w:sz="4" w:space="0"/>
            </w:tcBorders>
            <w:vAlign w:val="center"/>
          </w:tcPr>
          <w:p w14:paraId="19DAC047">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(万元）</w:t>
            </w:r>
          </w:p>
        </w:tc>
        <w:tc>
          <w:tcPr>
            <w:tcW w:w="3533" w:type="dxa"/>
            <w:gridSpan w:val="2"/>
            <w:tcBorders>
              <w:top w:val="single" w:color="000000" w:sz="4" w:space="0"/>
              <w:left w:val="single" w:color="000000" w:sz="4" w:space="0"/>
              <w:bottom w:val="single" w:color="000000" w:sz="4" w:space="0"/>
              <w:right w:val="single" w:color="000000" w:sz="4" w:space="0"/>
            </w:tcBorders>
            <w:vAlign w:val="center"/>
          </w:tcPr>
          <w:p w14:paraId="1493B411">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其中：财政拨款</w:t>
            </w:r>
          </w:p>
        </w:tc>
        <w:tc>
          <w:tcPr>
            <w:tcW w:w="3536" w:type="dxa"/>
            <w:gridSpan w:val="2"/>
            <w:tcBorders>
              <w:top w:val="single" w:color="000000" w:sz="4" w:space="0"/>
              <w:left w:val="single" w:color="000000" w:sz="4" w:space="0"/>
              <w:bottom w:val="single" w:color="000000" w:sz="4" w:space="0"/>
              <w:right w:val="single" w:color="000000" w:sz="4" w:space="0"/>
            </w:tcBorders>
            <w:vAlign w:val="center"/>
          </w:tcPr>
          <w:p w14:paraId="163CBAB9">
            <w:pPr>
              <w:widowControl/>
              <w:jc w:val="center"/>
              <w:textAlignment w:val="center"/>
              <w:rPr>
                <w:rFonts w:hint="default" w:ascii="宋体" w:hAnsi="宋体" w:eastAsia="宋体" w:cs="宋体"/>
                <w:color w:val="000000"/>
                <w:kern w:val="0"/>
                <w:sz w:val="20"/>
                <w:lang w:val="en-US"/>
              </w:rPr>
            </w:pPr>
            <w:r>
              <w:rPr>
                <w:rFonts w:hint="eastAsia" w:ascii="宋体" w:hAnsi="宋体" w:eastAsia="宋体" w:cs="宋体"/>
                <w:color w:val="000000"/>
                <w:kern w:val="0"/>
                <w:sz w:val="20"/>
                <w:lang w:val="en-US" w:eastAsia="zh-CN"/>
              </w:rPr>
              <w:t>3.5</w:t>
            </w:r>
          </w:p>
        </w:tc>
      </w:tr>
      <w:tr w14:paraId="7446CB12">
        <w:tblPrEx>
          <w:tblCellMar>
            <w:top w:w="0" w:type="dxa"/>
            <w:left w:w="108" w:type="dxa"/>
            <w:bottom w:w="0" w:type="dxa"/>
            <w:right w:w="108" w:type="dxa"/>
          </w:tblCellMar>
        </w:tblPrEx>
        <w:trPr>
          <w:trHeight w:val="410"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14:paraId="62B276C2">
            <w:pPr>
              <w:widowControl/>
              <w:jc w:val="center"/>
              <w:textAlignment w:val="center"/>
              <w:rPr>
                <w:rFonts w:hint="eastAsia" w:ascii="宋体" w:hAnsi="宋体" w:eastAsia="宋体" w:cs="宋体"/>
                <w:color w:val="000000"/>
                <w:kern w:val="0"/>
                <w:sz w:val="20"/>
              </w:rPr>
            </w:pPr>
          </w:p>
        </w:tc>
        <w:tc>
          <w:tcPr>
            <w:tcW w:w="3533" w:type="dxa"/>
            <w:gridSpan w:val="2"/>
            <w:tcBorders>
              <w:top w:val="single" w:color="000000" w:sz="4" w:space="0"/>
              <w:left w:val="single" w:color="000000" w:sz="4" w:space="0"/>
              <w:bottom w:val="single" w:color="000000" w:sz="4" w:space="0"/>
              <w:right w:val="single" w:color="000000" w:sz="4" w:space="0"/>
            </w:tcBorders>
            <w:vAlign w:val="center"/>
          </w:tcPr>
          <w:p w14:paraId="1DD27501">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 xml:space="preserve">      其他资金</w:t>
            </w:r>
          </w:p>
        </w:tc>
        <w:tc>
          <w:tcPr>
            <w:tcW w:w="3536" w:type="dxa"/>
            <w:gridSpan w:val="2"/>
            <w:tcBorders>
              <w:top w:val="single" w:color="000000" w:sz="4" w:space="0"/>
              <w:left w:val="single" w:color="000000" w:sz="4" w:space="0"/>
              <w:bottom w:val="single" w:color="000000" w:sz="4" w:space="0"/>
              <w:right w:val="single" w:color="000000" w:sz="4" w:space="0"/>
            </w:tcBorders>
            <w:vAlign w:val="center"/>
          </w:tcPr>
          <w:p w14:paraId="3A55F5F3">
            <w:pPr>
              <w:widowControl/>
              <w:jc w:val="center"/>
              <w:textAlignment w:val="center"/>
              <w:rPr>
                <w:rFonts w:hint="eastAsia" w:ascii="宋体" w:hAnsi="宋体" w:eastAsia="宋体" w:cs="宋体"/>
                <w:color w:val="000000"/>
                <w:kern w:val="0"/>
                <w:sz w:val="20"/>
              </w:rPr>
            </w:pPr>
          </w:p>
        </w:tc>
      </w:tr>
      <w:tr w14:paraId="31267F25">
        <w:tblPrEx>
          <w:tblCellMar>
            <w:top w:w="0" w:type="dxa"/>
            <w:left w:w="108" w:type="dxa"/>
            <w:bottom w:w="0" w:type="dxa"/>
            <w:right w:w="108" w:type="dxa"/>
          </w:tblCellMar>
        </w:tblPrEx>
        <w:trPr>
          <w:trHeight w:val="410" w:hRule="atLeast"/>
        </w:trPr>
        <w:tc>
          <w:tcPr>
            <w:tcW w:w="1531" w:type="dxa"/>
            <w:tcBorders>
              <w:top w:val="single" w:color="000000" w:sz="4" w:space="0"/>
              <w:left w:val="single" w:color="000000" w:sz="4" w:space="0"/>
              <w:bottom w:val="single" w:color="000000" w:sz="4" w:space="0"/>
              <w:right w:val="single" w:color="000000" w:sz="4" w:space="0"/>
            </w:tcBorders>
            <w:vAlign w:val="center"/>
          </w:tcPr>
          <w:p w14:paraId="0F8DC823">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年度绩效</w:t>
            </w:r>
          </w:p>
        </w:tc>
        <w:tc>
          <w:tcPr>
            <w:tcW w:w="7069" w:type="dxa"/>
            <w:gridSpan w:val="4"/>
            <w:vMerge w:val="restart"/>
            <w:tcBorders>
              <w:top w:val="single" w:color="000000" w:sz="4" w:space="0"/>
              <w:left w:val="single" w:color="000000" w:sz="4" w:space="0"/>
              <w:bottom w:val="single" w:color="000000" w:sz="4" w:space="0"/>
              <w:right w:val="single" w:color="000000" w:sz="4" w:space="0"/>
            </w:tcBorders>
            <w:vAlign w:val="center"/>
          </w:tcPr>
          <w:p w14:paraId="6428006B">
            <w:pPr>
              <w:widowControl/>
              <w:jc w:val="center"/>
              <w:textAlignment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完善、维护全年系统软件服务工作</w:t>
            </w:r>
          </w:p>
        </w:tc>
      </w:tr>
      <w:tr w14:paraId="15F8BE7F">
        <w:tblPrEx>
          <w:tblCellMar>
            <w:top w:w="0" w:type="dxa"/>
            <w:left w:w="108" w:type="dxa"/>
            <w:bottom w:w="0" w:type="dxa"/>
            <w:right w:w="108" w:type="dxa"/>
          </w:tblCellMar>
        </w:tblPrEx>
        <w:trPr>
          <w:trHeight w:val="410" w:hRule="atLeast"/>
        </w:trPr>
        <w:tc>
          <w:tcPr>
            <w:tcW w:w="1531" w:type="dxa"/>
            <w:tcBorders>
              <w:top w:val="single" w:color="000000" w:sz="4" w:space="0"/>
              <w:left w:val="single" w:color="000000" w:sz="4" w:space="0"/>
              <w:bottom w:val="single" w:color="000000" w:sz="4" w:space="0"/>
              <w:right w:val="single" w:color="000000" w:sz="4" w:space="0"/>
            </w:tcBorders>
            <w:vAlign w:val="center"/>
          </w:tcPr>
          <w:p w14:paraId="42B40C6B">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目标</w:t>
            </w:r>
          </w:p>
        </w:tc>
        <w:tc>
          <w:tcPr>
            <w:tcW w:w="706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4D80A38D">
            <w:pPr>
              <w:widowControl/>
              <w:jc w:val="center"/>
              <w:textAlignment w:val="center"/>
              <w:rPr>
                <w:rFonts w:hint="eastAsia" w:ascii="宋体" w:hAnsi="宋体" w:eastAsia="宋体" w:cs="宋体"/>
                <w:color w:val="000000"/>
                <w:kern w:val="0"/>
                <w:sz w:val="20"/>
              </w:rPr>
            </w:pPr>
          </w:p>
        </w:tc>
      </w:tr>
      <w:tr w14:paraId="1A2A4712">
        <w:tblPrEx>
          <w:tblCellMar>
            <w:top w:w="0" w:type="dxa"/>
            <w:left w:w="108" w:type="dxa"/>
            <w:bottom w:w="0" w:type="dxa"/>
            <w:right w:w="108" w:type="dxa"/>
          </w:tblCellMar>
        </w:tblPrEx>
        <w:trPr>
          <w:trHeight w:val="410" w:hRule="atLeast"/>
        </w:trPr>
        <w:tc>
          <w:tcPr>
            <w:tcW w:w="1531" w:type="dxa"/>
            <w:vMerge w:val="restart"/>
            <w:tcBorders>
              <w:top w:val="single" w:color="000000" w:sz="4" w:space="0"/>
              <w:left w:val="single" w:color="000000" w:sz="4" w:space="0"/>
              <w:bottom w:val="single" w:color="000000" w:sz="4" w:space="0"/>
              <w:right w:val="single" w:color="000000" w:sz="4" w:space="0"/>
            </w:tcBorders>
            <w:vAlign w:val="center"/>
          </w:tcPr>
          <w:p w14:paraId="188327A3">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绩效指标</w:t>
            </w:r>
          </w:p>
        </w:tc>
        <w:tc>
          <w:tcPr>
            <w:tcW w:w="1765" w:type="dxa"/>
            <w:tcBorders>
              <w:top w:val="single" w:color="000000" w:sz="4" w:space="0"/>
              <w:left w:val="single" w:color="000000" w:sz="4" w:space="0"/>
              <w:bottom w:val="single" w:color="000000" w:sz="4" w:space="0"/>
              <w:right w:val="single" w:color="000000" w:sz="4" w:space="0"/>
            </w:tcBorders>
            <w:vAlign w:val="center"/>
          </w:tcPr>
          <w:p w14:paraId="17CFED4A">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一级指标</w:t>
            </w:r>
          </w:p>
        </w:tc>
        <w:tc>
          <w:tcPr>
            <w:tcW w:w="1768" w:type="dxa"/>
            <w:tcBorders>
              <w:top w:val="single" w:color="000000" w:sz="4" w:space="0"/>
              <w:left w:val="single" w:color="000000" w:sz="4" w:space="0"/>
              <w:bottom w:val="single" w:color="000000" w:sz="4" w:space="0"/>
              <w:right w:val="single" w:color="000000" w:sz="4" w:space="0"/>
            </w:tcBorders>
            <w:vAlign w:val="center"/>
          </w:tcPr>
          <w:p w14:paraId="6F14CFBC">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二级指标</w:t>
            </w:r>
          </w:p>
        </w:tc>
        <w:tc>
          <w:tcPr>
            <w:tcW w:w="1765" w:type="dxa"/>
            <w:tcBorders>
              <w:top w:val="single" w:color="000000" w:sz="4" w:space="0"/>
              <w:left w:val="single" w:color="000000" w:sz="4" w:space="0"/>
              <w:bottom w:val="single" w:color="000000" w:sz="4" w:space="0"/>
              <w:right w:val="single" w:color="000000" w:sz="4" w:space="0"/>
            </w:tcBorders>
            <w:vAlign w:val="center"/>
          </w:tcPr>
          <w:p w14:paraId="75655E5E">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三级指标</w:t>
            </w:r>
          </w:p>
        </w:tc>
        <w:tc>
          <w:tcPr>
            <w:tcW w:w="1771" w:type="dxa"/>
            <w:tcBorders>
              <w:top w:val="single" w:color="000000" w:sz="4" w:space="0"/>
              <w:left w:val="single" w:color="000000" w:sz="4" w:space="0"/>
              <w:bottom w:val="single" w:color="000000" w:sz="4" w:space="0"/>
              <w:right w:val="single" w:color="000000" w:sz="4" w:space="0"/>
            </w:tcBorders>
            <w:vAlign w:val="center"/>
          </w:tcPr>
          <w:p w14:paraId="4523D263">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指标值</w:t>
            </w:r>
          </w:p>
        </w:tc>
      </w:tr>
      <w:tr w14:paraId="65D9C1D6">
        <w:tblPrEx>
          <w:tblCellMar>
            <w:top w:w="0" w:type="dxa"/>
            <w:left w:w="108" w:type="dxa"/>
            <w:bottom w:w="0" w:type="dxa"/>
            <w:right w:w="108" w:type="dxa"/>
          </w:tblCellMar>
        </w:tblPrEx>
        <w:trPr>
          <w:trHeight w:val="484" w:hRule="atLeast"/>
        </w:trPr>
        <w:tc>
          <w:tcPr>
            <w:tcW w:w="1531" w:type="dxa"/>
            <w:vMerge w:val="continue"/>
            <w:tcBorders>
              <w:top w:val="single" w:color="000000" w:sz="4" w:space="0"/>
              <w:left w:val="single" w:color="000000" w:sz="4" w:space="0"/>
              <w:bottom w:val="single" w:color="000000" w:sz="4" w:space="0"/>
              <w:right w:val="single" w:color="000000" w:sz="4" w:space="0"/>
            </w:tcBorders>
            <w:vAlign w:val="center"/>
          </w:tcPr>
          <w:p w14:paraId="31AF8DC0">
            <w:pPr>
              <w:widowControl/>
              <w:jc w:val="center"/>
              <w:textAlignment w:val="center"/>
              <w:rPr>
                <w:rFonts w:hint="eastAsia" w:ascii="宋体" w:hAnsi="宋体" w:eastAsia="宋体" w:cs="宋体"/>
                <w:color w:val="000000"/>
                <w:kern w:val="0"/>
                <w:sz w:val="20"/>
              </w:rPr>
            </w:pPr>
          </w:p>
        </w:tc>
        <w:tc>
          <w:tcPr>
            <w:tcW w:w="1765" w:type="dxa"/>
            <w:vMerge w:val="restart"/>
            <w:tcBorders>
              <w:top w:val="single" w:color="000000" w:sz="4" w:space="0"/>
              <w:left w:val="single" w:color="000000" w:sz="4" w:space="0"/>
              <w:bottom w:val="single" w:color="000000" w:sz="4" w:space="0"/>
              <w:right w:val="single" w:color="000000" w:sz="4" w:space="0"/>
            </w:tcBorders>
            <w:vAlign w:val="center"/>
          </w:tcPr>
          <w:p w14:paraId="546E68AD">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产出指标</w:t>
            </w:r>
          </w:p>
        </w:tc>
        <w:tc>
          <w:tcPr>
            <w:tcW w:w="1768" w:type="dxa"/>
            <w:tcBorders>
              <w:top w:val="single" w:color="000000" w:sz="4" w:space="0"/>
              <w:left w:val="single" w:color="000000" w:sz="4" w:space="0"/>
              <w:bottom w:val="single" w:color="000000" w:sz="4" w:space="0"/>
              <w:right w:val="single" w:color="000000" w:sz="4" w:space="0"/>
            </w:tcBorders>
            <w:vAlign w:val="center"/>
          </w:tcPr>
          <w:p w14:paraId="33962336">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数量指标</w:t>
            </w:r>
          </w:p>
        </w:tc>
        <w:tc>
          <w:tcPr>
            <w:tcW w:w="1765" w:type="dxa"/>
            <w:tcBorders>
              <w:top w:val="single" w:color="000000" w:sz="4" w:space="0"/>
              <w:left w:val="single" w:color="000000" w:sz="4" w:space="0"/>
              <w:bottom w:val="single" w:color="000000" w:sz="4" w:space="0"/>
              <w:right w:val="single" w:color="000000" w:sz="4" w:space="0"/>
            </w:tcBorders>
            <w:vAlign w:val="center"/>
          </w:tcPr>
          <w:p w14:paraId="1BD5981B">
            <w:pPr>
              <w:widowControl/>
              <w:jc w:val="center"/>
              <w:textAlignment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维护及服务现使用财务软件</w:t>
            </w:r>
          </w:p>
        </w:tc>
        <w:tc>
          <w:tcPr>
            <w:tcW w:w="1771" w:type="dxa"/>
            <w:tcBorders>
              <w:top w:val="single" w:color="000000" w:sz="4" w:space="0"/>
              <w:left w:val="single" w:color="000000" w:sz="4" w:space="0"/>
              <w:bottom w:val="single" w:color="000000" w:sz="4" w:space="0"/>
              <w:right w:val="single" w:color="000000" w:sz="4" w:space="0"/>
            </w:tcBorders>
            <w:vAlign w:val="center"/>
          </w:tcPr>
          <w:p w14:paraId="470130B4">
            <w:pPr>
              <w:widowControl/>
              <w:jc w:val="center"/>
              <w:textAlignment w:val="center"/>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rPr>
              <w:t>≥95分</w:t>
            </w:r>
          </w:p>
        </w:tc>
      </w:tr>
      <w:tr w14:paraId="187C9802">
        <w:tblPrEx>
          <w:tblCellMar>
            <w:top w:w="0" w:type="dxa"/>
            <w:left w:w="108" w:type="dxa"/>
            <w:bottom w:w="0" w:type="dxa"/>
            <w:right w:w="108" w:type="dxa"/>
          </w:tblCellMar>
        </w:tblPrEx>
        <w:trPr>
          <w:trHeight w:val="410" w:hRule="atLeast"/>
        </w:trPr>
        <w:tc>
          <w:tcPr>
            <w:tcW w:w="1531" w:type="dxa"/>
            <w:vMerge w:val="continue"/>
            <w:tcBorders>
              <w:top w:val="single" w:color="000000" w:sz="4" w:space="0"/>
              <w:left w:val="single" w:color="000000" w:sz="4" w:space="0"/>
              <w:bottom w:val="single" w:color="000000" w:sz="4" w:space="0"/>
              <w:right w:val="single" w:color="000000" w:sz="4" w:space="0"/>
            </w:tcBorders>
            <w:vAlign w:val="center"/>
          </w:tcPr>
          <w:p w14:paraId="5928215E">
            <w:pPr>
              <w:widowControl/>
              <w:jc w:val="center"/>
              <w:textAlignment w:val="center"/>
              <w:rPr>
                <w:rFonts w:hint="eastAsia" w:ascii="宋体" w:hAnsi="宋体" w:eastAsia="宋体" w:cs="宋体"/>
                <w:color w:val="000000"/>
                <w:kern w:val="0"/>
                <w:sz w:val="20"/>
              </w:rPr>
            </w:pPr>
          </w:p>
        </w:tc>
        <w:tc>
          <w:tcPr>
            <w:tcW w:w="1765" w:type="dxa"/>
            <w:vMerge w:val="continue"/>
            <w:tcBorders>
              <w:top w:val="single" w:color="000000" w:sz="4" w:space="0"/>
              <w:left w:val="single" w:color="000000" w:sz="4" w:space="0"/>
              <w:bottom w:val="single" w:color="000000" w:sz="4" w:space="0"/>
              <w:right w:val="single" w:color="000000" w:sz="4" w:space="0"/>
            </w:tcBorders>
            <w:vAlign w:val="center"/>
          </w:tcPr>
          <w:p w14:paraId="2F344D30">
            <w:pPr>
              <w:widowControl/>
              <w:jc w:val="center"/>
              <w:textAlignment w:val="center"/>
              <w:rPr>
                <w:rFonts w:hint="eastAsia" w:ascii="宋体" w:hAnsi="宋体" w:eastAsia="宋体" w:cs="宋体"/>
                <w:color w:val="000000"/>
                <w:kern w:val="0"/>
                <w:sz w:val="20"/>
              </w:rPr>
            </w:pPr>
          </w:p>
        </w:tc>
        <w:tc>
          <w:tcPr>
            <w:tcW w:w="1768" w:type="dxa"/>
            <w:tcBorders>
              <w:top w:val="single" w:color="000000" w:sz="4" w:space="0"/>
              <w:left w:val="single" w:color="000000" w:sz="4" w:space="0"/>
              <w:bottom w:val="single" w:color="000000" w:sz="4" w:space="0"/>
              <w:right w:val="single" w:color="000000" w:sz="4" w:space="0"/>
            </w:tcBorders>
            <w:vAlign w:val="center"/>
          </w:tcPr>
          <w:p w14:paraId="3509738D">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质量指标</w:t>
            </w:r>
          </w:p>
        </w:tc>
        <w:tc>
          <w:tcPr>
            <w:tcW w:w="1765" w:type="dxa"/>
            <w:tcBorders>
              <w:top w:val="single" w:color="000000" w:sz="4" w:space="0"/>
              <w:left w:val="single" w:color="000000" w:sz="4" w:space="0"/>
              <w:bottom w:val="single" w:color="000000" w:sz="4" w:space="0"/>
              <w:right w:val="single" w:color="000000" w:sz="4" w:space="0"/>
            </w:tcBorders>
            <w:vAlign w:val="center"/>
          </w:tcPr>
          <w:p w14:paraId="6E929A36">
            <w:pPr>
              <w:widowControl/>
              <w:jc w:val="center"/>
              <w:textAlignment w:val="center"/>
              <w:rPr>
                <w:rFonts w:hint="eastAsia" w:ascii="宋体" w:hAnsi="宋体" w:eastAsia="宋体" w:cs="宋体"/>
                <w:color w:val="000000"/>
                <w:kern w:val="0"/>
                <w:sz w:val="20"/>
              </w:rPr>
            </w:pPr>
          </w:p>
        </w:tc>
        <w:tc>
          <w:tcPr>
            <w:tcW w:w="1771" w:type="dxa"/>
            <w:tcBorders>
              <w:top w:val="single" w:color="000000" w:sz="4" w:space="0"/>
              <w:left w:val="single" w:color="000000" w:sz="4" w:space="0"/>
              <w:bottom w:val="single" w:color="000000" w:sz="4" w:space="0"/>
              <w:right w:val="single" w:color="000000" w:sz="4" w:space="0"/>
            </w:tcBorders>
            <w:vAlign w:val="center"/>
          </w:tcPr>
          <w:p w14:paraId="1CA6B603">
            <w:pPr>
              <w:widowControl/>
              <w:jc w:val="center"/>
              <w:textAlignment w:val="center"/>
              <w:rPr>
                <w:rFonts w:hint="eastAsia" w:ascii="宋体" w:hAnsi="宋体" w:eastAsia="宋体" w:cs="宋体"/>
                <w:color w:val="000000"/>
                <w:kern w:val="0"/>
                <w:sz w:val="20"/>
              </w:rPr>
            </w:pPr>
          </w:p>
        </w:tc>
      </w:tr>
      <w:tr w14:paraId="6D19E4ED">
        <w:tblPrEx>
          <w:tblCellMar>
            <w:top w:w="0" w:type="dxa"/>
            <w:left w:w="108" w:type="dxa"/>
            <w:bottom w:w="0" w:type="dxa"/>
            <w:right w:w="108" w:type="dxa"/>
          </w:tblCellMar>
        </w:tblPrEx>
        <w:trPr>
          <w:trHeight w:val="410" w:hRule="atLeast"/>
        </w:trPr>
        <w:tc>
          <w:tcPr>
            <w:tcW w:w="1531" w:type="dxa"/>
            <w:vMerge w:val="continue"/>
            <w:tcBorders>
              <w:top w:val="single" w:color="000000" w:sz="4" w:space="0"/>
              <w:left w:val="single" w:color="000000" w:sz="4" w:space="0"/>
              <w:bottom w:val="single" w:color="000000" w:sz="4" w:space="0"/>
              <w:right w:val="single" w:color="000000" w:sz="4" w:space="0"/>
            </w:tcBorders>
            <w:vAlign w:val="center"/>
          </w:tcPr>
          <w:p w14:paraId="4462FEEC">
            <w:pPr>
              <w:widowControl/>
              <w:jc w:val="center"/>
              <w:textAlignment w:val="center"/>
              <w:rPr>
                <w:rFonts w:hint="eastAsia" w:ascii="宋体" w:hAnsi="宋体" w:eastAsia="宋体" w:cs="宋体"/>
                <w:color w:val="000000"/>
                <w:kern w:val="0"/>
                <w:sz w:val="20"/>
              </w:rPr>
            </w:pPr>
          </w:p>
        </w:tc>
        <w:tc>
          <w:tcPr>
            <w:tcW w:w="1765" w:type="dxa"/>
            <w:vMerge w:val="continue"/>
            <w:tcBorders>
              <w:top w:val="single" w:color="000000" w:sz="4" w:space="0"/>
              <w:left w:val="single" w:color="000000" w:sz="4" w:space="0"/>
              <w:bottom w:val="single" w:color="000000" w:sz="4" w:space="0"/>
              <w:right w:val="single" w:color="000000" w:sz="4" w:space="0"/>
            </w:tcBorders>
            <w:vAlign w:val="center"/>
          </w:tcPr>
          <w:p w14:paraId="53912530">
            <w:pPr>
              <w:widowControl/>
              <w:jc w:val="center"/>
              <w:textAlignment w:val="center"/>
              <w:rPr>
                <w:rFonts w:hint="eastAsia" w:ascii="宋体" w:hAnsi="宋体" w:eastAsia="宋体" w:cs="宋体"/>
                <w:color w:val="000000"/>
                <w:kern w:val="0"/>
                <w:sz w:val="20"/>
              </w:rPr>
            </w:pPr>
          </w:p>
        </w:tc>
        <w:tc>
          <w:tcPr>
            <w:tcW w:w="1768" w:type="dxa"/>
            <w:tcBorders>
              <w:top w:val="single" w:color="000000" w:sz="4" w:space="0"/>
              <w:left w:val="single" w:color="000000" w:sz="4" w:space="0"/>
              <w:bottom w:val="single" w:color="000000" w:sz="4" w:space="0"/>
              <w:right w:val="single" w:color="000000" w:sz="4" w:space="0"/>
            </w:tcBorders>
            <w:vAlign w:val="center"/>
          </w:tcPr>
          <w:p w14:paraId="1BFA8095">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成本指标</w:t>
            </w:r>
          </w:p>
        </w:tc>
        <w:tc>
          <w:tcPr>
            <w:tcW w:w="1765" w:type="dxa"/>
            <w:tcBorders>
              <w:top w:val="single" w:color="000000" w:sz="4" w:space="0"/>
              <w:left w:val="single" w:color="000000" w:sz="4" w:space="0"/>
              <w:bottom w:val="single" w:color="000000" w:sz="4" w:space="0"/>
              <w:right w:val="single" w:color="000000" w:sz="4" w:space="0"/>
            </w:tcBorders>
            <w:vAlign w:val="center"/>
          </w:tcPr>
          <w:p w14:paraId="7EDB6777">
            <w:pPr>
              <w:widowControl/>
              <w:jc w:val="center"/>
              <w:textAlignment w:val="center"/>
              <w:rPr>
                <w:rFonts w:hint="eastAsia" w:ascii="宋体" w:hAnsi="宋体" w:eastAsia="宋体" w:cs="宋体"/>
                <w:color w:val="000000"/>
                <w:kern w:val="0"/>
                <w:sz w:val="20"/>
              </w:rPr>
            </w:pPr>
          </w:p>
        </w:tc>
        <w:tc>
          <w:tcPr>
            <w:tcW w:w="1771" w:type="dxa"/>
            <w:tcBorders>
              <w:top w:val="single" w:color="000000" w:sz="4" w:space="0"/>
              <w:left w:val="single" w:color="000000" w:sz="4" w:space="0"/>
              <w:bottom w:val="single" w:color="000000" w:sz="4" w:space="0"/>
              <w:right w:val="single" w:color="000000" w:sz="4" w:space="0"/>
            </w:tcBorders>
            <w:vAlign w:val="center"/>
          </w:tcPr>
          <w:p w14:paraId="342C7A48">
            <w:pPr>
              <w:widowControl/>
              <w:jc w:val="center"/>
              <w:textAlignment w:val="center"/>
              <w:rPr>
                <w:rFonts w:hint="eastAsia" w:ascii="宋体" w:hAnsi="宋体" w:eastAsia="宋体" w:cs="宋体"/>
                <w:color w:val="000000"/>
                <w:kern w:val="0"/>
                <w:sz w:val="20"/>
              </w:rPr>
            </w:pPr>
          </w:p>
        </w:tc>
      </w:tr>
      <w:tr w14:paraId="07C0F137">
        <w:tblPrEx>
          <w:tblCellMar>
            <w:top w:w="0" w:type="dxa"/>
            <w:left w:w="108" w:type="dxa"/>
            <w:bottom w:w="0" w:type="dxa"/>
            <w:right w:w="108" w:type="dxa"/>
          </w:tblCellMar>
        </w:tblPrEx>
        <w:trPr>
          <w:trHeight w:val="410" w:hRule="atLeast"/>
        </w:trPr>
        <w:tc>
          <w:tcPr>
            <w:tcW w:w="1531" w:type="dxa"/>
            <w:vMerge w:val="continue"/>
            <w:tcBorders>
              <w:top w:val="single" w:color="000000" w:sz="4" w:space="0"/>
              <w:left w:val="single" w:color="000000" w:sz="4" w:space="0"/>
              <w:bottom w:val="single" w:color="000000" w:sz="4" w:space="0"/>
              <w:right w:val="single" w:color="000000" w:sz="4" w:space="0"/>
            </w:tcBorders>
            <w:vAlign w:val="center"/>
          </w:tcPr>
          <w:p w14:paraId="5A617C3B">
            <w:pPr>
              <w:widowControl/>
              <w:jc w:val="center"/>
              <w:textAlignment w:val="center"/>
              <w:rPr>
                <w:rFonts w:hint="eastAsia" w:ascii="宋体" w:hAnsi="宋体" w:eastAsia="宋体" w:cs="宋体"/>
                <w:color w:val="000000"/>
                <w:kern w:val="0"/>
                <w:sz w:val="20"/>
              </w:rPr>
            </w:pPr>
          </w:p>
        </w:tc>
        <w:tc>
          <w:tcPr>
            <w:tcW w:w="1765" w:type="dxa"/>
            <w:vMerge w:val="continue"/>
            <w:tcBorders>
              <w:top w:val="single" w:color="000000" w:sz="4" w:space="0"/>
              <w:left w:val="single" w:color="000000" w:sz="4" w:space="0"/>
              <w:bottom w:val="single" w:color="000000" w:sz="4" w:space="0"/>
              <w:right w:val="single" w:color="000000" w:sz="4" w:space="0"/>
            </w:tcBorders>
            <w:vAlign w:val="center"/>
          </w:tcPr>
          <w:p w14:paraId="41B4540D">
            <w:pPr>
              <w:widowControl/>
              <w:jc w:val="center"/>
              <w:textAlignment w:val="center"/>
              <w:rPr>
                <w:rFonts w:hint="eastAsia" w:ascii="宋体" w:hAnsi="宋体" w:eastAsia="宋体" w:cs="宋体"/>
                <w:color w:val="000000"/>
                <w:kern w:val="0"/>
                <w:sz w:val="20"/>
              </w:rPr>
            </w:pPr>
          </w:p>
        </w:tc>
        <w:tc>
          <w:tcPr>
            <w:tcW w:w="1768" w:type="dxa"/>
            <w:tcBorders>
              <w:top w:val="single" w:color="000000" w:sz="4" w:space="0"/>
              <w:left w:val="single" w:color="000000" w:sz="4" w:space="0"/>
              <w:bottom w:val="single" w:color="000000" w:sz="4" w:space="0"/>
              <w:right w:val="single" w:color="000000" w:sz="4" w:space="0"/>
            </w:tcBorders>
            <w:vAlign w:val="center"/>
          </w:tcPr>
          <w:p w14:paraId="70E2BCF0">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时效指标</w:t>
            </w:r>
          </w:p>
        </w:tc>
        <w:tc>
          <w:tcPr>
            <w:tcW w:w="1765" w:type="dxa"/>
            <w:tcBorders>
              <w:top w:val="single" w:color="000000" w:sz="4" w:space="0"/>
              <w:left w:val="single" w:color="000000" w:sz="4" w:space="0"/>
              <w:bottom w:val="single" w:color="000000" w:sz="4" w:space="0"/>
              <w:right w:val="single" w:color="000000" w:sz="4" w:space="0"/>
            </w:tcBorders>
            <w:vAlign w:val="center"/>
          </w:tcPr>
          <w:p w14:paraId="535FF823">
            <w:pPr>
              <w:widowControl/>
              <w:jc w:val="center"/>
              <w:textAlignment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确保财务系统正常运行及完成升级服务</w:t>
            </w:r>
          </w:p>
        </w:tc>
        <w:tc>
          <w:tcPr>
            <w:tcW w:w="1771" w:type="dxa"/>
            <w:tcBorders>
              <w:top w:val="single" w:color="000000" w:sz="4" w:space="0"/>
              <w:left w:val="single" w:color="000000" w:sz="4" w:space="0"/>
              <w:bottom w:val="single" w:color="000000" w:sz="4" w:space="0"/>
              <w:right w:val="single" w:color="000000" w:sz="4" w:space="0"/>
            </w:tcBorders>
            <w:vAlign w:val="center"/>
          </w:tcPr>
          <w:p w14:paraId="054B69A5">
            <w:pPr>
              <w:widowControl/>
              <w:jc w:val="center"/>
              <w:textAlignment w:val="center"/>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rPr>
              <w:t>≥</w:t>
            </w:r>
            <w:r>
              <w:rPr>
                <w:rFonts w:hint="eastAsia" w:ascii="宋体" w:hAnsi="宋体" w:eastAsia="宋体" w:cs="宋体"/>
                <w:color w:val="000000"/>
                <w:kern w:val="0"/>
                <w:sz w:val="20"/>
                <w:lang w:val="en-US" w:eastAsia="zh-CN"/>
              </w:rPr>
              <w:t>30次</w:t>
            </w:r>
          </w:p>
        </w:tc>
      </w:tr>
      <w:tr w14:paraId="3F826E09">
        <w:tblPrEx>
          <w:tblCellMar>
            <w:top w:w="0" w:type="dxa"/>
            <w:left w:w="108" w:type="dxa"/>
            <w:bottom w:w="0" w:type="dxa"/>
            <w:right w:w="108" w:type="dxa"/>
          </w:tblCellMar>
        </w:tblPrEx>
        <w:trPr>
          <w:trHeight w:val="574" w:hRule="atLeast"/>
        </w:trPr>
        <w:tc>
          <w:tcPr>
            <w:tcW w:w="1531" w:type="dxa"/>
            <w:vMerge w:val="continue"/>
            <w:tcBorders>
              <w:top w:val="single" w:color="000000" w:sz="4" w:space="0"/>
              <w:left w:val="single" w:color="000000" w:sz="4" w:space="0"/>
              <w:bottom w:val="single" w:color="000000" w:sz="4" w:space="0"/>
              <w:right w:val="single" w:color="000000" w:sz="4" w:space="0"/>
            </w:tcBorders>
            <w:vAlign w:val="center"/>
          </w:tcPr>
          <w:p w14:paraId="772281D4">
            <w:pPr>
              <w:widowControl/>
              <w:jc w:val="center"/>
              <w:textAlignment w:val="center"/>
              <w:rPr>
                <w:rFonts w:hint="eastAsia" w:ascii="宋体" w:hAnsi="宋体" w:eastAsia="宋体" w:cs="宋体"/>
                <w:color w:val="000000"/>
                <w:kern w:val="0"/>
                <w:sz w:val="20"/>
              </w:rPr>
            </w:pPr>
          </w:p>
        </w:tc>
        <w:tc>
          <w:tcPr>
            <w:tcW w:w="1765" w:type="dxa"/>
            <w:vMerge w:val="restart"/>
            <w:tcBorders>
              <w:top w:val="single" w:color="000000" w:sz="4" w:space="0"/>
              <w:left w:val="single" w:color="000000" w:sz="4" w:space="0"/>
              <w:bottom w:val="single" w:color="000000" w:sz="4" w:space="0"/>
              <w:right w:val="single" w:color="000000" w:sz="4" w:space="0"/>
            </w:tcBorders>
            <w:vAlign w:val="center"/>
          </w:tcPr>
          <w:p w14:paraId="0943D04E">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效果指标</w:t>
            </w:r>
          </w:p>
        </w:tc>
        <w:tc>
          <w:tcPr>
            <w:tcW w:w="1768" w:type="dxa"/>
            <w:tcBorders>
              <w:top w:val="single" w:color="000000" w:sz="4" w:space="0"/>
              <w:left w:val="single" w:color="000000" w:sz="4" w:space="0"/>
              <w:bottom w:val="single" w:color="000000" w:sz="4" w:space="0"/>
              <w:right w:val="single" w:color="000000" w:sz="4" w:space="0"/>
            </w:tcBorders>
            <w:vAlign w:val="center"/>
          </w:tcPr>
          <w:p w14:paraId="04CB0326">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经济效益指标</w:t>
            </w:r>
          </w:p>
        </w:tc>
        <w:tc>
          <w:tcPr>
            <w:tcW w:w="1765" w:type="dxa"/>
            <w:tcBorders>
              <w:top w:val="single" w:color="000000" w:sz="4" w:space="0"/>
              <w:left w:val="single" w:color="000000" w:sz="4" w:space="0"/>
              <w:bottom w:val="single" w:color="000000" w:sz="4" w:space="0"/>
              <w:right w:val="single" w:color="000000" w:sz="4" w:space="0"/>
            </w:tcBorders>
            <w:vAlign w:val="center"/>
          </w:tcPr>
          <w:p w14:paraId="13646CC2">
            <w:pPr>
              <w:widowControl/>
              <w:jc w:val="center"/>
              <w:textAlignment w:val="center"/>
              <w:rPr>
                <w:rFonts w:hint="eastAsia" w:ascii="宋体" w:hAnsi="宋体" w:eastAsia="宋体" w:cs="宋体"/>
                <w:color w:val="000000"/>
                <w:kern w:val="0"/>
                <w:sz w:val="20"/>
              </w:rPr>
            </w:pPr>
          </w:p>
        </w:tc>
        <w:tc>
          <w:tcPr>
            <w:tcW w:w="1771" w:type="dxa"/>
            <w:tcBorders>
              <w:top w:val="single" w:color="000000" w:sz="4" w:space="0"/>
              <w:left w:val="single" w:color="000000" w:sz="4" w:space="0"/>
              <w:bottom w:val="single" w:color="000000" w:sz="4" w:space="0"/>
              <w:right w:val="single" w:color="000000" w:sz="4" w:space="0"/>
            </w:tcBorders>
            <w:vAlign w:val="center"/>
          </w:tcPr>
          <w:p w14:paraId="61ED12BF">
            <w:pPr>
              <w:widowControl/>
              <w:jc w:val="center"/>
              <w:textAlignment w:val="center"/>
              <w:rPr>
                <w:rFonts w:hint="eastAsia" w:ascii="宋体" w:hAnsi="宋体" w:eastAsia="宋体" w:cs="宋体"/>
                <w:color w:val="000000"/>
                <w:kern w:val="0"/>
                <w:sz w:val="20"/>
              </w:rPr>
            </w:pPr>
          </w:p>
        </w:tc>
      </w:tr>
      <w:tr w14:paraId="7BE7040C">
        <w:tblPrEx>
          <w:tblCellMar>
            <w:top w:w="0" w:type="dxa"/>
            <w:left w:w="108" w:type="dxa"/>
            <w:bottom w:w="0" w:type="dxa"/>
            <w:right w:w="108" w:type="dxa"/>
          </w:tblCellMar>
        </w:tblPrEx>
        <w:trPr>
          <w:trHeight w:val="634" w:hRule="atLeast"/>
        </w:trPr>
        <w:tc>
          <w:tcPr>
            <w:tcW w:w="1531" w:type="dxa"/>
            <w:vMerge w:val="continue"/>
            <w:tcBorders>
              <w:top w:val="single" w:color="000000" w:sz="4" w:space="0"/>
              <w:left w:val="single" w:color="000000" w:sz="4" w:space="0"/>
              <w:bottom w:val="single" w:color="000000" w:sz="4" w:space="0"/>
              <w:right w:val="single" w:color="000000" w:sz="4" w:space="0"/>
            </w:tcBorders>
            <w:vAlign w:val="center"/>
          </w:tcPr>
          <w:p w14:paraId="04FFA8CA">
            <w:pPr>
              <w:widowControl/>
              <w:jc w:val="center"/>
              <w:textAlignment w:val="center"/>
              <w:rPr>
                <w:rFonts w:hint="eastAsia" w:ascii="宋体" w:hAnsi="宋体" w:eastAsia="宋体" w:cs="宋体"/>
                <w:color w:val="000000"/>
                <w:kern w:val="0"/>
                <w:sz w:val="20"/>
              </w:rPr>
            </w:pPr>
          </w:p>
        </w:tc>
        <w:tc>
          <w:tcPr>
            <w:tcW w:w="1765" w:type="dxa"/>
            <w:vMerge w:val="continue"/>
            <w:tcBorders>
              <w:top w:val="single" w:color="000000" w:sz="4" w:space="0"/>
              <w:left w:val="single" w:color="000000" w:sz="4" w:space="0"/>
              <w:bottom w:val="single" w:color="000000" w:sz="4" w:space="0"/>
              <w:right w:val="single" w:color="000000" w:sz="4" w:space="0"/>
            </w:tcBorders>
            <w:vAlign w:val="center"/>
          </w:tcPr>
          <w:p w14:paraId="6A5DD187">
            <w:pPr>
              <w:widowControl/>
              <w:jc w:val="center"/>
              <w:textAlignment w:val="center"/>
              <w:rPr>
                <w:rFonts w:hint="eastAsia" w:ascii="宋体" w:hAnsi="宋体" w:eastAsia="宋体" w:cs="宋体"/>
                <w:color w:val="000000"/>
                <w:kern w:val="0"/>
                <w:sz w:val="20"/>
              </w:rPr>
            </w:pPr>
          </w:p>
        </w:tc>
        <w:tc>
          <w:tcPr>
            <w:tcW w:w="1768" w:type="dxa"/>
            <w:tcBorders>
              <w:top w:val="single" w:color="000000" w:sz="4" w:space="0"/>
              <w:left w:val="single" w:color="000000" w:sz="4" w:space="0"/>
              <w:bottom w:val="single" w:color="000000" w:sz="4" w:space="0"/>
              <w:right w:val="single" w:color="000000" w:sz="4" w:space="0"/>
            </w:tcBorders>
            <w:vAlign w:val="center"/>
          </w:tcPr>
          <w:p w14:paraId="1B066090">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社会效益指标</w:t>
            </w:r>
          </w:p>
        </w:tc>
        <w:tc>
          <w:tcPr>
            <w:tcW w:w="1765" w:type="dxa"/>
            <w:tcBorders>
              <w:top w:val="single" w:color="000000" w:sz="4" w:space="0"/>
              <w:left w:val="single" w:color="000000" w:sz="4" w:space="0"/>
              <w:bottom w:val="single" w:color="000000" w:sz="4" w:space="0"/>
              <w:right w:val="single" w:color="000000" w:sz="4" w:space="0"/>
            </w:tcBorders>
            <w:vAlign w:val="center"/>
          </w:tcPr>
          <w:p w14:paraId="3B1A7E82">
            <w:pPr>
              <w:widowControl/>
              <w:jc w:val="center"/>
              <w:textAlignment w:val="center"/>
              <w:rPr>
                <w:rFonts w:hint="eastAsia" w:ascii="宋体" w:hAnsi="宋体" w:eastAsia="宋体" w:cs="宋体"/>
                <w:color w:val="000000"/>
                <w:kern w:val="0"/>
                <w:sz w:val="20"/>
              </w:rPr>
            </w:pPr>
          </w:p>
        </w:tc>
        <w:tc>
          <w:tcPr>
            <w:tcW w:w="1771" w:type="dxa"/>
            <w:tcBorders>
              <w:top w:val="single" w:color="000000" w:sz="4" w:space="0"/>
              <w:left w:val="single" w:color="000000" w:sz="4" w:space="0"/>
              <w:bottom w:val="single" w:color="000000" w:sz="4" w:space="0"/>
              <w:right w:val="single" w:color="000000" w:sz="4" w:space="0"/>
            </w:tcBorders>
            <w:vAlign w:val="center"/>
          </w:tcPr>
          <w:p w14:paraId="5C8E2EED">
            <w:pPr>
              <w:widowControl/>
              <w:jc w:val="center"/>
              <w:textAlignment w:val="center"/>
              <w:rPr>
                <w:rFonts w:hint="eastAsia" w:ascii="宋体" w:hAnsi="宋体" w:eastAsia="宋体" w:cs="宋体"/>
                <w:color w:val="000000"/>
                <w:kern w:val="0"/>
                <w:sz w:val="20"/>
              </w:rPr>
            </w:pPr>
          </w:p>
        </w:tc>
      </w:tr>
      <w:tr w14:paraId="6264A87E">
        <w:tblPrEx>
          <w:tblCellMar>
            <w:top w:w="0" w:type="dxa"/>
            <w:left w:w="108" w:type="dxa"/>
            <w:bottom w:w="0" w:type="dxa"/>
            <w:right w:w="108" w:type="dxa"/>
          </w:tblCellMar>
        </w:tblPrEx>
        <w:trPr>
          <w:trHeight w:val="619" w:hRule="atLeast"/>
        </w:trPr>
        <w:tc>
          <w:tcPr>
            <w:tcW w:w="1531" w:type="dxa"/>
            <w:vMerge w:val="continue"/>
            <w:tcBorders>
              <w:top w:val="single" w:color="000000" w:sz="4" w:space="0"/>
              <w:left w:val="single" w:color="000000" w:sz="4" w:space="0"/>
              <w:bottom w:val="single" w:color="000000" w:sz="4" w:space="0"/>
              <w:right w:val="single" w:color="000000" w:sz="4" w:space="0"/>
            </w:tcBorders>
            <w:vAlign w:val="center"/>
          </w:tcPr>
          <w:p w14:paraId="263F1F32">
            <w:pPr>
              <w:widowControl/>
              <w:jc w:val="center"/>
              <w:textAlignment w:val="center"/>
              <w:rPr>
                <w:rFonts w:hint="eastAsia" w:ascii="宋体" w:hAnsi="宋体" w:eastAsia="宋体" w:cs="宋体"/>
                <w:color w:val="000000"/>
                <w:kern w:val="0"/>
                <w:sz w:val="20"/>
              </w:rPr>
            </w:pPr>
          </w:p>
        </w:tc>
        <w:tc>
          <w:tcPr>
            <w:tcW w:w="1765" w:type="dxa"/>
            <w:vMerge w:val="continue"/>
            <w:tcBorders>
              <w:top w:val="single" w:color="000000" w:sz="4" w:space="0"/>
              <w:left w:val="single" w:color="000000" w:sz="4" w:space="0"/>
              <w:bottom w:val="single" w:color="000000" w:sz="4" w:space="0"/>
              <w:right w:val="single" w:color="000000" w:sz="4" w:space="0"/>
            </w:tcBorders>
            <w:vAlign w:val="center"/>
          </w:tcPr>
          <w:p w14:paraId="7E7E346A">
            <w:pPr>
              <w:widowControl/>
              <w:jc w:val="center"/>
              <w:textAlignment w:val="center"/>
              <w:rPr>
                <w:rFonts w:hint="eastAsia" w:ascii="宋体" w:hAnsi="宋体" w:eastAsia="宋体" w:cs="宋体"/>
                <w:color w:val="000000"/>
                <w:kern w:val="0"/>
                <w:sz w:val="20"/>
              </w:rPr>
            </w:pPr>
          </w:p>
        </w:tc>
        <w:tc>
          <w:tcPr>
            <w:tcW w:w="1768" w:type="dxa"/>
            <w:tcBorders>
              <w:top w:val="single" w:color="000000" w:sz="4" w:space="0"/>
              <w:left w:val="single" w:color="000000" w:sz="4" w:space="0"/>
              <w:bottom w:val="single" w:color="000000" w:sz="4" w:space="0"/>
              <w:right w:val="single" w:color="000000" w:sz="4" w:space="0"/>
            </w:tcBorders>
            <w:vAlign w:val="center"/>
          </w:tcPr>
          <w:p w14:paraId="6FAD044A">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生态效益指标</w:t>
            </w:r>
          </w:p>
        </w:tc>
        <w:tc>
          <w:tcPr>
            <w:tcW w:w="1765" w:type="dxa"/>
            <w:tcBorders>
              <w:top w:val="single" w:color="000000" w:sz="4" w:space="0"/>
              <w:left w:val="single" w:color="000000" w:sz="4" w:space="0"/>
              <w:bottom w:val="single" w:color="000000" w:sz="4" w:space="0"/>
              <w:right w:val="single" w:color="000000" w:sz="4" w:space="0"/>
            </w:tcBorders>
            <w:vAlign w:val="center"/>
          </w:tcPr>
          <w:p w14:paraId="6D98A390">
            <w:pPr>
              <w:widowControl/>
              <w:jc w:val="center"/>
              <w:textAlignment w:val="center"/>
              <w:rPr>
                <w:rFonts w:hint="eastAsia" w:ascii="宋体" w:hAnsi="宋体" w:eastAsia="宋体" w:cs="宋体"/>
                <w:color w:val="000000"/>
                <w:kern w:val="0"/>
                <w:sz w:val="20"/>
              </w:rPr>
            </w:pPr>
          </w:p>
        </w:tc>
        <w:tc>
          <w:tcPr>
            <w:tcW w:w="1771" w:type="dxa"/>
            <w:tcBorders>
              <w:top w:val="single" w:color="000000" w:sz="4" w:space="0"/>
              <w:left w:val="single" w:color="000000" w:sz="4" w:space="0"/>
              <w:bottom w:val="single" w:color="000000" w:sz="4" w:space="0"/>
              <w:right w:val="single" w:color="000000" w:sz="4" w:space="0"/>
            </w:tcBorders>
            <w:vAlign w:val="center"/>
          </w:tcPr>
          <w:p w14:paraId="1C7C59AF">
            <w:pPr>
              <w:widowControl/>
              <w:jc w:val="center"/>
              <w:textAlignment w:val="center"/>
              <w:rPr>
                <w:rFonts w:hint="eastAsia" w:ascii="宋体" w:hAnsi="宋体" w:eastAsia="宋体" w:cs="宋体"/>
                <w:color w:val="000000"/>
                <w:kern w:val="0"/>
                <w:sz w:val="20"/>
              </w:rPr>
            </w:pPr>
          </w:p>
        </w:tc>
      </w:tr>
      <w:tr w14:paraId="112C5997">
        <w:tblPrEx>
          <w:tblCellMar>
            <w:top w:w="0" w:type="dxa"/>
            <w:left w:w="108" w:type="dxa"/>
            <w:bottom w:w="0" w:type="dxa"/>
            <w:right w:w="108" w:type="dxa"/>
          </w:tblCellMar>
        </w:tblPrEx>
        <w:trPr>
          <w:trHeight w:val="743" w:hRule="atLeast"/>
        </w:trPr>
        <w:tc>
          <w:tcPr>
            <w:tcW w:w="1531" w:type="dxa"/>
            <w:vMerge w:val="continue"/>
            <w:tcBorders>
              <w:top w:val="single" w:color="000000" w:sz="4" w:space="0"/>
              <w:left w:val="single" w:color="000000" w:sz="4" w:space="0"/>
              <w:bottom w:val="single" w:color="000000" w:sz="4" w:space="0"/>
              <w:right w:val="single" w:color="000000" w:sz="4" w:space="0"/>
            </w:tcBorders>
            <w:vAlign w:val="center"/>
          </w:tcPr>
          <w:p w14:paraId="0FFA6D6A">
            <w:pPr>
              <w:widowControl/>
              <w:jc w:val="center"/>
              <w:textAlignment w:val="center"/>
              <w:rPr>
                <w:rFonts w:hint="eastAsia" w:ascii="宋体" w:hAnsi="宋体" w:eastAsia="宋体" w:cs="宋体"/>
                <w:color w:val="000000"/>
                <w:kern w:val="0"/>
                <w:sz w:val="20"/>
              </w:rPr>
            </w:pPr>
          </w:p>
        </w:tc>
        <w:tc>
          <w:tcPr>
            <w:tcW w:w="1765" w:type="dxa"/>
            <w:vMerge w:val="continue"/>
            <w:tcBorders>
              <w:top w:val="single" w:color="000000" w:sz="4" w:space="0"/>
              <w:left w:val="single" w:color="000000" w:sz="4" w:space="0"/>
              <w:bottom w:val="single" w:color="000000" w:sz="4" w:space="0"/>
              <w:right w:val="single" w:color="000000" w:sz="4" w:space="0"/>
            </w:tcBorders>
            <w:vAlign w:val="center"/>
          </w:tcPr>
          <w:p w14:paraId="34EF60DB">
            <w:pPr>
              <w:widowControl/>
              <w:jc w:val="center"/>
              <w:textAlignment w:val="center"/>
              <w:rPr>
                <w:rFonts w:hint="eastAsia" w:ascii="宋体" w:hAnsi="宋体" w:eastAsia="宋体" w:cs="宋体"/>
                <w:color w:val="000000"/>
                <w:kern w:val="0"/>
                <w:sz w:val="20"/>
              </w:rPr>
            </w:pPr>
          </w:p>
        </w:tc>
        <w:tc>
          <w:tcPr>
            <w:tcW w:w="1768" w:type="dxa"/>
            <w:tcBorders>
              <w:top w:val="single" w:color="000000" w:sz="4" w:space="0"/>
              <w:left w:val="single" w:color="000000" w:sz="4" w:space="0"/>
              <w:bottom w:val="single" w:color="000000" w:sz="4" w:space="0"/>
              <w:right w:val="single" w:color="000000" w:sz="4" w:space="0"/>
            </w:tcBorders>
            <w:vAlign w:val="center"/>
          </w:tcPr>
          <w:p w14:paraId="68A2AAD3">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可持续影响指标</w:t>
            </w:r>
          </w:p>
        </w:tc>
        <w:tc>
          <w:tcPr>
            <w:tcW w:w="1765" w:type="dxa"/>
            <w:tcBorders>
              <w:top w:val="single" w:color="000000" w:sz="4" w:space="0"/>
              <w:left w:val="single" w:color="000000" w:sz="4" w:space="0"/>
              <w:bottom w:val="single" w:color="000000" w:sz="4" w:space="0"/>
              <w:right w:val="single" w:color="000000" w:sz="4" w:space="0"/>
            </w:tcBorders>
            <w:vAlign w:val="center"/>
          </w:tcPr>
          <w:p w14:paraId="2DB38AD7">
            <w:pPr>
              <w:widowControl/>
              <w:jc w:val="center"/>
              <w:textAlignment w:val="center"/>
              <w:rPr>
                <w:rFonts w:hint="eastAsia" w:ascii="宋体" w:hAnsi="宋体" w:eastAsia="宋体" w:cs="宋体"/>
                <w:color w:val="000000"/>
                <w:kern w:val="0"/>
                <w:sz w:val="20"/>
              </w:rPr>
            </w:pPr>
          </w:p>
        </w:tc>
        <w:tc>
          <w:tcPr>
            <w:tcW w:w="1771" w:type="dxa"/>
            <w:tcBorders>
              <w:top w:val="single" w:color="000000" w:sz="4" w:space="0"/>
              <w:left w:val="single" w:color="000000" w:sz="4" w:space="0"/>
              <w:bottom w:val="single" w:color="000000" w:sz="4" w:space="0"/>
              <w:right w:val="single" w:color="000000" w:sz="4" w:space="0"/>
            </w:tcBorders>
            <w:vAlign w:val="center"/>
          </w:tcPr>
          <w:p w14:paraId="43716E7B">
            <w:pPr>
              <w:widowControl/>
              <w:jc w:val="center"/>
              <w:textAlignment w:val="center"/>
              <w:rPr>
                <w:rFonts w:hint="eastAsia" w:ascii="宋体" w:hAnsi="宋体" w:eastAsia="宋体" w:cs="宋体"/>
                <w:color w:val="000000"/>
                <w:kern w:val="0"/>
                <w:sz w:val="20"/>
              </w:rPr>
            </w:pPr>
          </w:p>
        </w:tc>
      </w:tr>
      <w:tr w14:paraId="1CAE822D">
        <w:tblPrEx>
          <w:tblCellMar>
            <w:top w:w="0" w:type="dxa"/>
            <w:left w:w="108" w:type="dxa"/>
            <w:bottom w:w="0" w:type="dxa"/>
            <w:right w:w="108" w:type="dxa"/>
          </w:tblCellMar>
        </w:tblPrEx>
        <w:trPr>
          <w:trHeight w:val="625" w:hRule="atLeast"/>
        </w:trPr>
        <w:tc>
          <w:tcPr>
            <w:tcW w:w="1531" w:type="dxa"/>
            <w:vMerge w:val="continue"/>
            <w:tcBorders>
              <w:top w:val="single" w:color="000000" w:sz="4" w:space="0"/>
              <w:left w:val="single" w:color="000000" w:sz="4" w:space="0"/>
              <w:bottom w:val="single" w:color="000000" w:sz="4" w:space="0"/>
              <w:right w:val="single" w:color="000000" w:sz="4" w:space="0"/>
            </w:tcBorders>
            <w:vAlign w:val="center"/>
          </w:tcPr>
          <w:p w14:paraId="443AB598">
            <w:pPr>
              <w:jc w:val="center"/>
              <w:rPr>
                <w:rFonts w:ascii="华文细黑" w:hAnsi="华文细黑" w:eastAsia="华文细黑" w:cs="华文细黑"/>
                <w:color w:val="000000"/>
                <w:sz w:val="20"/>
              </w:rPr>
            </w:pPr>
          </w:p>
        </w:tc>
        <w:tc>
          <w:tcPr>
            <w:tcW w:w="1765" w:type="dxa"/>
            <w:vMerge w:val="continue"/>
            <w:tcBorders>
              <w:top w:val="single" w:color="000000" w:sz="4" w:space="0"/>
              <w:left w:val="single" w:color="000000" w:sz="4" w:space="0"/>
              <w:bottom w:val="single" w:color="000000" w:sz="4" w:space="0"/>
              <w:right w:val="single" w:color="000000" w:sz="4" w:space="0"/>
            </w:tcBorders>
            <w:vAlign w:val="center"/>
          </w:tcPr>
          <w:p w14:paraId="5C7392F0">
            <w:pPr>
              <w:jc w:val="center"/>
              <w:rPr>
                <w:rFonts w:ascii="华文细黑" w:hAnsi="华文细黑" w:eastAsia="华文细黑" w:cs="华文细黑"/>
                <w:color w:val="000000"/>
                <w:sz w:val="20"/>
              </w:rPr>
            </w:pPr>
          </w:p>
        </w:tc>
        <w:tc>
          <w:tcPr>
            <w:tcW w:w="1768" w:type="dxa"/>
            <w:tcBorders>
              <w:top w:val="single" w:color="000000" w:sz="4" w:space="0"/>
              <w:left w:val="single" w:color="000000" w:sz="4" w:space="0"/>
              <w:bottom w:val="single" w:color="000000" w:sz="4" w:space="0"/>
              <w:right w:val="single" w:color="000000" w:sz="4" w:space="0"/>
            </w:tcBorders>
            <w:vAlign w:val="center"/>
          </w:tcPr>
          <w:p w14:paraId="342B8121">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满意度指标</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D987C">
            <w:pPr>
              <w:widowControl/>
              <w:jc w:val="left"/>
              <w:textAlignment w:val="center"/>
              <w:rPr>
                <w:rFonts w:hint="eastAsia" w:ascii="宋体" w:hAnsi="宋体" w:eastAsia="宋体" w:cs="宋体"/>
                <w:color w:val="000000"/>
                <w:kern w:val="2"/>
                <w:sz w:val="20"/>
                <w:lang w:val="en-US" w:eastAsia="zh-CN" w:bidi="ar-SA"/>
              </w:rPr>
            </w:pPr>
            <w:r>
              <w:rPr>
                <w:rFonts w:hint="eastAsia" w:ascii="宋体" w:hAnsi="宋体" w:eastAsia="宋体" w:cs="宋体"/>
                <w:color w:val="000000"/>
                <w:kern w:val="0"/>
                <w:sz w:val="20"/>
              </w:rPr>
              <w:t>使用软件人员满意度</w:t>
            </w:r>
          </w:p>
        </w:tc>
        <w:tc>
          <w:tcPr>
            <w:tcW w:w="1771" w:type="dxa"/>
            <w:tcBorders>
              <w:top w:val="single" w:color="000000" w:sz="4" w:space="0"/>
              <w:left w:val="single" w:color="000000" w:sz="4" w:space="0"/>
              <w:bottom w:val="single" w:color="000000" w:sz="4" w:space="0"/>
              <w:right w:val="single" w:color="000000" w:sz="4" w:space="0"/>
            </w:tcBorders>
            <w:vAlign w:val="center"/>
          </w:tcPr>
          <w:p w14:paraId="124F03B5">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≥95分</w:t>
            </w:r>
          </w:p>
        </w:tc>
      </w:tr>
    </w:tbl>
    <w:p w14:paraId="68078FF8">
      <w:pPr>
        <w:ind w:firstLine="640" w:firstLineChars="200"/>
        <w:jc w:val="center"/>
        <w:rPr>
          <w:rFonts w:eastAsia="黑体"/>
        </w:rPr>
      </w:pPr>
    </w:p>
    <w:p w14:paraId="38C3FEE3">
      <w:pPr>
        <w:spacing w:line="700" w:lineRule="exact"/>
        <w:rPr>
          <w:rFonts w:hint="eastAsia" w:ascii="楷体" w:hAnsi="楷体" w:eastAsia="楷体" w:cs="楷体"/>
          <w:kern w:val="0"/>
          <w:szCs w:val="32"/>
        </w:rPr>
      </w:pPr>
    </w:p>
    <w:p w14:paraId="14C85ECD">
      <w:pPr>
        <w:ind w:firstLine="640" w:firstLineChars="200"/>
        <w:jc w:val="center"/>
        <w:rPr>
          <w:rFonts w:eastAsia="黑体"/>
        </w:rPr>
      </w:pPr>
    </w:p>
    <w:p w14:paraId="3C105DAA">
      <w:pPr>
        <w:ind w:firstLine="640" w:firstLineChars="200"/>
        <w:jc w:val="center"/>
        <w:rPr>
          <w:rFonts w:eastAsia="黑体"/>
        </w:rPr>
      </w:pPr>
    </w:p>
    <w:tbl>
      <w:tblPr>
        <w:tblStyle w:val="9"/>
        <w:tblW w:w="8600" w:type="dxa"/>
        <w:tblInd w:w="93" w:type="dxa"/>
        <w:tblLayout w:type="autofit"/>
        <w:tblCellMar>
          <w:top w:w="0" w:type="dxa"/>
          <w:left w:w="108" w:type="dxa"/>
          <w:bottom w:w="0" w:type="dxa"/>
          <w:right w:w="108" w:type="dxa"/>
        </w:tblCellMar>
      </w:tblPr>
      <w:tblGrid>
        <w:gridCol w:w="1531"/>
        <w:gridCol w:w="1765"/>
        <w:gridCol w:w="1768"/>
        <w:gridCol w:w="1904"/>
        <w:gridCol w:w="1632"/>
      </w:tblGrid>
      <w:tr w14:paraId="6E9CD284">
        <w:tblPrEx>
          <w:tblCellMar>
            <w:top w:w="0" w:type="dxa"/>
            <w:left w:w="108" w:type="dxa"/>
            <w:bottom w:w="0" w:type="dxa"/>
            <w:right w:w="108" w:type="dxa"/>
          </w:tblCellMar>
        </w:tblPrEx>
        <w:trPr>
          <w:trHeight w:val="498" w:hRule="atLeast"/>
        </w:trPr>
        <w:tc>
          <w:tcPr>
            <w:tcW w:w="8600" w:type="dxa"/>
            <w:gridSpan w:val="5"/>
            <w:tcBorders>
              <w:top w:val="nil"/>
              <w:left w:val="nil"/>
              <w:bottom w:val="nil"/>
              <w:right w:val="nil"/>
            </w:tcBorders>
            <w:vAlign w:val="center"/>
          </w:tcPr>
          <w:p w14:paraId="2DE24710">
            <w:pPr>
              <w:widowControl/>
              <w:jc w:val="center"/>
              <w:textAlignment w:val="center"/>
              <w:rPr>
                <w:rFonts w:ascii="方正小标宋简体" w:hAnsi="方正小标宋简体" w:eastAsia="方正小标宋简体" w:cs="方正小标宋简体"/>
                <w:color w:val="000000"/>
                <w:sz w:val="44"/>
                <w:szCs w:val="44"/>
              </w:rPr>
            </w:pPr>
            <w:r>
              <w:rPr>
                <w:rFonts w:ascii="方正小标宋简体" w:hAnsi="方正小标宋简体" w:eastAsia="方正小标宋简体" w:cs="方正小标宋简体"/>
                <w:color w:val="000000"/>
                <w:kern w:val="0"/>
                <w:sz w:val="32"/>
                <w:szCs w:val="32"/>
              </w:rPr>
              <w:t>项目支出绩效目标表</w:t>
            </w:r>
          </w:p>
        </w:tc>
      </w:tr>
      <w:tr w14:paraId="51988103">
        <w:tblPrEx>
          <w:tblCellMar>
            <w:top w:w="0" w:type="dxa"/>
            <w:left w:w="108" w:type="dxa"/>
            <w:bottom w:w="0" w:type="dxa"/>
            <w:right w:w="108" w:type="dxa"/>
          </w:tblCellMar>
        </w:tblPrEx>
        <w:trPr>
          <w:trHeight w:val="587" w:hRule="atLeast"/>
        </w:trPr>
        <w:tc>
          <w:tcPr>
            <w:tcW w:w="8600" w:type="dxa"/>
            <w:gridSpan w:val="5"/>
            <w:tcBorders>
              <w:top w:val="nil"/>
              <w:left w:val="nil"/>
              <w:bottom w:val="nil"/>
              <w:right w:val="nil"/>
            </w:tcBorders>
            <w:vAlign w:val="center"/>
          </w:tcPr>
          <w:p w14:paraId="393BA136">
            <w:pPr>
              <w:widowControl/>
              <w:jc w:val="left"/>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预算单位：长春经济技术开发区财务结算中心</w:t>
            </w:r>
          </w:p>
          <w:p w14:paraId="403E42E9">
            <w:pPr>
              <w:widowControl/>
              <w:jc w:val="left"/>
              <w:textAlignment w:val="center"/>
              <w:rPr>
                <w:rFonts w:hint="eastAsia" w:ascii="宋体" w:hAnsi="宋体" w:eastAsia="宋体" w:cs="宋体"/>
                <w:color w:val="000000"/>
                <w:sz w:val="20"/>
                <w:lang w:eastAsia="zh-CN"/>
              </w:rPr>
            </w:pPr>
            <w:r>
              <w:rPr>
                <w:rFonts w:hint="eastAsia" w:ascii="宋体" w:hAnsi="宋体" w:eastAsia="宋体" w:cs="宋体"/>
                <w:color w:val="000000"/>
                <w:kern w:val="0"/>
                <w:sz w:val="20"/>
              </w:rPr>
              <w:t>（长春经济技术开发区国库集中支付中心）</w:t>
            </w:r>
            <w:r>
              <w:rPr>
                <w:rFonts w:hint="eastAsia" w:ascii="宋体" w:hAnsi="宋体" w:eastAsia="宋体" w:cs="宋体"/>
                <w:color w:val="000000"/>
                <w:kern w:val="0"/>
                <w:sz w:val="20"/>
                <w:lang w:val="en-US" w:eastAsia="zh-CN"/>
              </w:rPr>
              <w:t xml:space="preserve">                                    </w:t>
            </w:r>
            <w:r>
              <w:rPr>
                <w:rFonts w:hint="eastAsia" w:ascii="宋体" w:hAnsi="宋体" w:eastAsia="宋体" w:cs="宋体"/>
                <w:color w:val="000000"/>
                <w:kern w:val="0"/>
                <w:sz w:val="20"/>
                <w:lang w:eastAsia="zh-CN"/>
              </w:rPr>
              <w:t>单位：万元</w:t>
            </w:r>
          </w:p>
        </w:tc>
      </w:tr>
      <w:tr w14:paraId="25565954">
        <w:tblPrEx>
          <w:tblCellMar>
            <w:top w:w="0" w:type="dxa"/>
            <w:left w:w="108" w:type="dxa"/>
            <w:bottom w:w="0" w:type="dxa"/>
            <w:right w:w="108" w:type="dxa"/>
          </w:tblCellMar>
        </w:tblPrEx>
        <w:trPr>
          <w:trHeight w:val="410" w:hRule="atLeast"/>
        </w:trPr>
        <w:tc>
          <w:tcPr>
            <w:tcW w:w="5064" w:type="dxa"/>
            <w:gridSpan w:val="3"/>
            <w:tcBorders>
              <w:top w:val="single" w:color="000000" w:sz="4" w:space="0"/>
              <w:left w:val="single" w:color="000000" w:sz="4" w:space="0"/>
              <w:bottom w:val="single" w:color="000000" w:sz="4" w:space="0"/>
              <w:right w:val="single" w:color="000000" w:sz="4" w:space="0"/>
            </w:tcBorders>
            <w:vAlign w:val="center"/>
          </w:tcPr>
          <w:p w14:paraId="27CB7E9E">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项目名称</w:t>
            </w:r>
          </w:p>
        </w:tc>
        <w:tc>
          <w:tcPr>
            <w:tcW w:w="35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85E232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托儿费</w:t>
            </w:r>
          </w:p>
        </w:tc>
      </w:tr>
      <w:tr w14:paraId="7B36C9CA">
        <w:tblPrEx>
          <w:tblCellMar>
            <w:top w:w="0" w:type="dxa"/>
            <w:left w:w="108" w:type="dxa"/>
            <w:bottom w:w="0" w:type="dxa"/>
            <w:right w:w="108" w:type="dxa"/>
          </w:tblCellMar>
        </w:tblPrEx>
        <w:trPr>
          <w:trHeight w:val="410" w:hRule="atLeast"/>
        </w:trPr>
        <w:tc>
          <w:tcPr>
            <w:tcW w:w="5064" w:type="dxa"/>
            <w:gridSpan w:val="3"/>
            <w:tcBorders>
              <w:top w:val="single" w:color="000000" w:sz="4" w:space="0"/>
              <w:left w:val="single" w:color="000000" w:sz="4" w:space="0"/>
              <w:bottom w:val="single" w:color="000000" w:sz="4" w:space="0"/>
              <w:right w:val="single" w:color="000000" w:sz="4" w:space="0"/>
            </w:tcBorders>
            <w:vAlign w:val="center"/>
          </w:tcPr>
          <w:p w14:paraId="0FB1D90B">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项目级次</w:t>
            </w:r>
          </w:p>
        </w:tc>
        <w:tc>
          <w:tcPr>
            <w:tcW w:w="3536" w:type="dxa"/>
            <w:gridSpan w:val="2"/>
            <w:tcBorders>
              <w:top w:val="single" w:color="000000" w:sz="4" w:space="0"/>
              <w:left w:val="single" w:color="000000" w:sz="4" w:space="0"/>
              <w:bottom w:val="single" w:color="000000" w:sz="4" w:space="0"/>
              <w:right w:val="single" w:color="000000" w:sz="4" w:space="0"/>
            </w:tcBorders>
            <w:vAlign w:val="center"/>
          </w:tcPr>
          <w:p w14:paraId="6FE8E7EF">
            <w:pPr>
              <w:widowControl/>
              <w:jc w:val="center"/>
              <w:textAlignment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一级项目</w:t>
            </w:r>
          </w:p>
        </w:tc>
      </w:tr>
      <w:tr w14:paraId="57071B96">
        <w:tblPrEx>
          <w:tblCellMar>
            <w:top w:w="0" w:type="dxa"/>
            <w:left w:w="108" w:type="dxa"/>
            <w:bottom w:w="0" w:type="dxa"/>
            <w:right w:w="108" w:type="dxa"/>
          </w:tblCellMar>
        </w:tblPrEx>
        <w:trPr>
          <w:trHeight w:val="410" w:hRule="atLeast"/>
        </w:trPr>
        <w:tc>
          <w:tcPr>
            <w:tcW w:w="1531" w:type="dxa"/>
            <w:tcBorders>
              <w:top w:val="single" w:color="000000" w:sz="4" w:space="0"/>
              <w:left w:val="single" w:color="000000" w:sz="4" w:space="0"/>
              <w:bottom w:val="single" w:color="000000" w:sz="4" w:space="0"/>
              <w:right w:val="single" w:color="000000" w:sz="4" w:space="0"/>
            </w:tcBorders>
            <w:vAlign w:val="center"/>
          </w:tcPr>
          <w:p w14:paraId="128132DD">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项目资金</w:t>
            </w:r>
          </w:p>
        </w:tc>
        <w:tc>
          <w:tcPr>
            <w:tcW w:w="3533" w:type="dxa"/>
            <w:gridSpan w:val="2"/>
            <w:tcBorders>
              <w:top w:val="single" w:color="000000" w:sz="4" w:space="0"/>
              <w:left w:val="single" w:color="000000" w:sz="4" w:space="0"/>
              <w:bottom w:val="single" w:color="000000" w:sz="4" w:space="0"/>
              <w:right w:val="single" w:color="000000" w:sz="4" w:space="0"/>
            </w:tcBorders>
            <w:vAlign w:val="center"/>
          </w:tcPr>
          <w:p w14:paraId="2D886933">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年度资金总额</w:t>
            </w:r>
          </w:p>
        </w:tc>
        <w:tc>
          <w:tcPr>
            <w:tcW w:w="3536" w:type="dxa"/>
            <w:gridSpan w:val="2"/>
            <w:tcBorders>
              <w:top w:val="single" w:color="000000" w:sz="4" w:space="0"/>
              <w:left w:val="single" w:color="000000" w:sz="4" w:space="0"/>
              <w:bottom w:val="single" w:color="000000" w:sz="4" w:space="0"/>
              <w:right w:val="single" w:color="000000" w:sz="4" w:space="0"/>
            </w:tcBorders>
            <w:vAlign w:val="center"/>
          </w:tcPr>
          <w:p w14:paraId="37A91C36">
            <w:pPr>
              <w:widowControl/>
              <w:jc w:val="center"/>
              <w:textAlignment w:val="center"/>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0.1</w:t>
            </w:r>
          </w:p>
        </w:tc>
      </w:tr>
      <w:tr w14:paraId="3581C415">
        <w:tblPrEx>
          <w:tblCellMar>
            <w:top w:w="0" w:type="dxa"/>
            <w:left w:w="108" w:type="dxa"/>
            <w:bottom w:w="0" w:type="dxa"/>
            <w:right w:w="108" w:type="dxa"/>
          </w:tblCellMar>
        </w:tblPrEx>
        <w:trPr>
          <w:trHeight w:val="410" w:hRule="atLeast"/>
        </w:trPr>
        <w:tc>
          <w:tcPr>
            <w:tcW w:w="1531" w:type="dxa"/>
            <w:tcBorders>
              <w:top w:val="single" w:color="000000" w:sz="4" w:space="0"/>
              <w:left w:val="single" w:color="000000" w:sz="4" w:space="0"/>
              <w:bottom w:val="single" w:color="000000" w:sz="4" w:space="0"/>
              <w:right w:val="single" w:color="000000" w:sz="4" w:space="0"/>
            </w:tcBorders>
            <w:vAlign w:val="center"/>
          </w:tcPr>
          <w:p w14:paraId="7ABBCF76">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(万元）</w:t>
            </w:r>
          </w:p>
        </w:tc>
        <w:tc>
          <w:tcPr>
            <w:tcW w:w="3533" w:type="dxa"/>
            <w:gridSpan w:val="2"/>
            <w:tcBorders>
              <w:top w:val="single" w:color="000000" w:sz="4" w:space="0"/>
              <w:left w:val="single" w:color="000000" w:sz="4" w:space="0"/>
              <w:bottom w:val="single" w:color="000000" w:sz="4" w:space="0"/>
              <w:right w:val="single" w:color="000000" w:sz="4" w:space="0"/>
            </w:tcBorders>
            <w:vAlign w:val="center"/>
          </w:tcPr>
          <w:p w14:paraId="35901779">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其中：财政拨款</w:t>
            </w:r>
          </w:p>
        </w:tc>
        <w:tc>
          <w:tcPr>
            <w:tcW w:w="3536" w:type="dxa"/>
            <w:gridSpan w:val="2"/>
            <w:tcBorders>
              <w:top w:val="single" w:color="000000" w:sz="4" w:space="0"/>
              <w:left w:val="single" w:color="000000" w:sz="4" w:space="0"/>
              <w:bottom w:val="single" w:color="000000" w:sz="4" w:space="0"/>
              <w:right w:val="single" w:color="000000" w:sz="4" w:space="0"/>
            </w:tcBorders>
            <w:vAlign w:val="center"/>
          </w:tcPr>
          <w:p w14:paraId="4554201D">
            <w:pPr>
              <w:widowControl/>
              <w:jc w:val="center"/>
              <w:textAlignment w:val="center"/>
              <w:rPr>
                <w:rFonts w:hint="default" w:ascii="宋体" w:hAnsi="宋体" w:eastAsia="宋体" w:cs="宋体"/>
                <w:color w:val="000000"/>
                <w:kern w:val="0"/>
                <w:sz w:val="20"/>
                <w:lang w:val="en-US"/>
              </w:rPr>
            </w:pPr>
            <w:r>
              <w:rPr>
                <w:rFonts w:hint="eastAsia" w:ascii="宋体" w:hAnsi="宋体" w:eastAsia="宋体" w:cs="宋体"/>
                <w:color w:val="000000"/>
                <w:kern w:val="0"/>
                <w:sz w:val="20"/>
                <w:lang w:val="en-US" w:eastAsia="zh-CN"/>
              </w:rPr>
              <w:t>0.1</w:t>
            </w:r>
          </w:p>
        </w:tc>
      </w:tr>
      <w:tr w14:paraId="2172B500">
        <w:tblPrEx>
          <w:tblCellMar>
            <w:top w:w="0" w:type="dxa"/>
            <w:left w:w="108" w:type="dxa"/>
            <w:bottom w:w="0" w:type="dxa"/>
            <w:right w:w="108" w:type="dxa"/>
          </w:tblCellMar>
        </w:tblPrEx>
        <w:trPr>
          <w:trHeight w:val="410"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14:paraId="4901AEB1">
            <w:pPr>
              <w:widowControl/>
              <w:jc w:val="center"/>
              <w:textAlignment w:val="center"/>
              <w:rPr>
                <w:rFonts w:hint="eastAsia" w:ascii="宋体" w:hAnsi="宋体" w:eastAsia="宋体" w:cs="宋体"/>
                <w:color w:val="000000"/>
                <w:kern w:val="0"/>
                <w:sz w:val="20"/>
              </w:rPr>
            </w:pPr>
          </w:p>
        </w:tc>
        <w:tc>
          <w:tcPr>
            <w:tcW w:w="3533" w:type="dxa"/>
            <w:gridSpan w:val="2"/>
            <w:tcBorders>
              <w:top w:val="single" w:color="000000" w:sz="4" w:space="0"/>
              <w:left w:val="single" w:color="000000" w:sz="4" w:space="0"/>
              <w:bottom w:val="single" w:color="000000" w:sz="4" w:space="0"/>
              <w:right w:val="single" w:color="000000" w:sz="4" w:space="0"/>
            </w:tcBorders>
            <w:vAlign w:val="center"/>
          </w:tcPr>
          <w:p w14:paraId="4CBAB07A">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 xml:space="preserve">      其他资金</w:t>
            </w:r>
          </w:p>
        </w:tc>
        <w:tc>
          <w:tcPr>
            <w:tcW w:w="3536" w:type="dxa"/>
            <w:gridSpan w:val="2"/>
            <w:tcBorders>
              <w:top w:val="single" w:color="000000" w:sz="4" w:space="0"/>
              <w:left w:val="single" w:color="000000" w:sz="4" w:space="0"/>
              <w:bottom w:val="single" w:color="000000" w:sz="4" w:space="0"/>
              <w:right w:val="single" w:color="000000" w:sz="4" w:space="0"/>
            </w:tcBorders>
            <w:vAlign w:val="center"/>
          </w:tcPr>
          <w:p w14:paraId="0E97B7B0">
            <w:pPr>
              <w:widowControl/>
              <w:jc w:val="center"/>
              <w:textAlignment w:val="center"/>
              <w:rPr>
                <w:rFonts w:hint="eastAsia" w:ascii="宋体" w:hAnsi="宋体" w:eastAsia="宋体" w:cs="宋体"/>
                <w:color w:val="000000"/>
                <w:kern w:val="0"/>
                <w:sz w:val="20"/>
              </w:rPr>
            </w:pPr>
          </w:p>
        </w:tc>
      </w:tr>
      <w:tr w14:paraId="330D3335">
        <w:tblPrEx>
          <w:tblCellMar>
            <w:top w:w="0" w:type="dxa"/>
            <w:left w:w="108" w:type="dxa"/>
            <w:bottom w:w="0" w:type="dxa"/>
            <w:right w:w="108" w:type="dxa"/>
          </w:tblCellMar>
        </w:tblPrEx>
        <w:trPr>
          <w:trHeight w:val="410" w:hRule="atLeast"/>
        </w:trPr>
        <w:tc>
          <w:tcPr>
            <w:tcW w:w="1531" w:type="dxa"/>
            <w:tcBorders>
              <w:top w:val="single" w:color="000000" w:sz="4" w:space="0"/>
              <w:left w:val="single" w:color="000000" w:sz="4" w:space="0"/>
              <w:bottom w:val="single" w:color="000000" w:sz="4" w:space="0"/>
              <w:right w:val="single" w:color="000000" w:sz="4" w:space="0"/>
            </w:tcBorders>
            <w:vAlign w:val="center"/>
          </w:tcPr>
          <w:p w14:paraId="338C267D">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年度绩效</w:t>
            </w:r>
          </w:p>
        </w:tc>
        <w:tc>
          <w:tcPr>
            <w:tcW w:w="7069" w:type="dxa"/>
            <w:gridSpan w:val="4"/>
            <w:vMerge w:val="restart"/>
            <w:tcBorders>
              <w:top w:val="single" w:color="000000" w:sz="4" w:space="0"/>
              <w:left w:val="single" w:color="000000" w:sz="4" w:space="0"/>
              <w:bottom w:val="single" w:color="000000" w:sz="4" w:space="0"/>
              <w:right w:val="single" w:color="000000" w:sz="4" w:space="0"/>
            </w:tcBorders>
            <w:vAlign w:val="center"/>
          </w:tcPr>
          <w:p w14:paraId="7B9DF00D">
            <w:pPr>
              <w:widowControl/>
              <w:jc w:val="center"/>
              <w:textAlignment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完成本年度职工托儿费发放工作</w:t>
            </w:r>
          </w:p>
        </w:tc>
      </w:tr>
      <w:tr w14:paraId="48AE1502">
        <w:tblPrEx>
          <w:tblCellMar>
            <w:top w:w="0" w:type="dxa"/>
            <w:left w:w="108" w:type="dxa"/>
            <w:bottom w:w="0" w:type="dxa"/>
            <w:right w:w="108" w:type="dxa"/>
          </w:tblCellMar>
        </w:tblPrEx>
        <w:trPr>
          <w:trHeight w:val="410" w:hRule="atLeast"/>
        </w:trPr>
        <w:tc>
          <w:tcPr>
            <w:tcW w:w="1531" w:type="dxa"/>
            <w:tcBorders>
              <w:top w:val="single" w:color="000000" w:sz="4" w:space="0"/>
              <w:left w:val="single" w:color="000000" w:sz="4" w:space="0"/>
              <w:bottom w:val="single" w:color="000000" w:sz="4" w:space="0"/>
              <w:right w:val="single" w:color="000000" w:sz="4" w:space="0"/>
            </w:tcBorders>
            <w:vAlign w:val="center"/>
          </w:tcPr>
          <w:p w14:paraId="29EA88A7">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目标</w:t>
            </w:r>
          </w:p>
        </w:tc>
        <w:tc>
          <w:tcPr>
            <w:tcW w:w="7069"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5399F962">
            <w:pPr>
              <w:widowControl/>
              <w:jc w:val="center"/>
              <w:textAlignment w:val="center"/>
              <w:rPr>
                <w:rFonts w:hint="eastAsia" w:ascii="宋体" w:hAnsi="宋体" w:eastAsia="宋体" w:cs="宋体"/>
                <w:color w:val="000000"/>
                <w:kern w:val="0"/>
                <w:sz w:val="20"/>
              </w:rPr>
            </w:pPr>
          </w:p>
        </w:tc>
      </w:tr>
      <w:tr w14:paraId="2BAE8910">
        <w:tblPrEx>
          <w:tblCellMar>
            <w:top w:w="0" w:type="dxa"/>
            <w:left w:w="108" w:type="dxa"/>
            <w:bottom w:w="0" w:type="dxa"/>
            <w:right w:w="108" w:type="dxa"/>
          </w:tblCellMar>
        </w:tblPrEx>
        <w:trPr>
          <w:trHeight w:val="410" w:hRule="atLeast"/>
        </w:trPr>
        <w:tc>
          <w:tcPr>
            <w:tcW w:w="1531" w:type="dxa"/>
            <w:vMerge w:val="restart"/>
            <w:tcBorders>
              <w:top w:val="single" w:color="000000" w:sz="4" w:space="0"/>
              <w:left w:val="single" w:color="000000" w:sz="4" w:space="0"/>
              <w:bottom w:val="single" w:color="000000" w:sz="4" w:space="0"/>
              <w:right w:val="single" w:color="000000" w:sz="4" w:space="0"/>
            </w:tcBorders>
            <w:vAlign w:val="center"/>
          </w:tcPr>
          <w:p w14:paraId="32B9B0DD">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绩效指标</w:t>
            </w:r>
          </w:p>
        </w:tc>
        <w:tc>
          <w:tcPr>
            <w:tcW w:w="1765" w:type="dxa"/>
            <w:tcBorders>
              <w:top w:val="single" w:color="000000" w:sz="4" w:space="0"/>
              <w:left w:val="single" w:color="000000" w:sz="4" w:space="0"/>
              <w:bottom w:val="single" w:color="000000" w:sz="4" w:space="0"/>
              <w:right w:val="single" w:color="000000" w:sz="4" w:space="0"/>
            </w:tcBorders>
            <w:vAlign w:val="center"/>
          </w:tcPr>
          <w:p w14:paraId="245C4AC7">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一级指标</w:t>
            </w:r>
          </w:p>
        </w:tc>
        <w:tc>
          <w:tcPr>
            <w:tcW w:w="1768" w:type="dxa"/>
            <w:tcBorders>
              <w:top w:val="single" w:color="000000" w:sz="4" w:space="0"/>
              <w:left w:val="single" w:color="000000" w:sz="4" w:space="0"/>
              <w:bottom w:val="single" w:color="000000" w:sz="4" w:space="0"/>
              <w:right w:val="single" w:color="000000" w:sz="4" w:space="0"/>
            </w:tcBorders>
            <w:vAlign w:val="center"/>
          </w:tcPr>
          <w:p w14:paraId="0327CA96">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二级指标</w:t>
            </w:r>
          </w:p>
        </w:tc>
        <w:tc>
          <w:tcPr>
            <w:tcW w:w="1904" w:type="dxa"/>
            <w:tcBorders>
              <w:top w:val="single" w:color="000000" w:sz="4" w:space="0"/>
              <w:left w:val="single" w:color="000000" w:sz="4" w:space="0"/>
              <w:bottom w:val="single" w:color="000000" w:sz="4" w:space="0"/>
              <w:right w:val="single" w:color="000000" w:sz="4" w:space="0"/>
            </w:tcBorders>
            <w:vAlign w:val="center"/>
          </w:tcPr>
          <w:p w14:paraId="6AFF9FD5">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三级指标</w:t>
            </w:r>
          </w:p>
        </w:tc>
        <w:tc>
          <w:tcPr>
            <w:tcW w:w="1632" w:type="dxa"/>
            <w:tcBorders>
              <w:top w:val="single" w:color="000000" w:sz="4" w:space="0"/>
              <w:left w:val="single" w:color="000000" w:sz="4" w:space="0"/>
              <w:bottom w:val="single" w:color="000000" w:sz="4" w:space="0"/>
              <w:right w:val="single" w:color="000000" w:sz="4" w:space="0"/>
            </w:tcBorders>
            <w:vAlign w:val="center"/>
          </w:tcPr>
          <w:p w14:paraId="5BBDBB1F">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指标值</w:t>
            </w:r>
          </w:p>
        </w:tc>
      </w:tr>
      <w:tr w14:paraId="74E8074D">
        <w:tblPrEx>
          <w:tblCellMar>
            <w:top w:w="0" w:type="dxa"/>
            <w:left w:w="108" w:type="dxa"/>
            <w:bottom w:w="0" w:type="dxa"/>
            <w:right w:w="108" w:type="dxa"/>
          </w:tblCellMar>
        </w:tblPrEx>
        <w:trPr>
          <w:trHeight w:val="484" w:hRule="atLeast"/>
        </w:trPr>
        <w:tc>
          <w:tcPr>
            <w:tcW w:w="1531" w:type="dxa"/>
            <w:vMerge w:val="continue"/>
            <w:tcBorders>
              <w:top w:val="single" w:color="000000" w:sz="4" w:space="0"/>
              <w:left w:val="single" w:color="000000" w:sz="4" w:space="0"/>
              <w:bottom w:val="single" w:color="000000" w:sz="4" w:space="0"/>
              <w:right w:val="single" w:color="000000" w:sz="4" w:space="0"/>
            </w:tcBorders>
            <w:vAlign w:val="center"/>
          </w:tcPr>
          <w:p w14:paraId="01A34279">
            <w:pPr>
              <w:widowControl/>
              <w:jc w:val="center"/>
              <w:textAlignment w:val="center"/>
              <w:rPr>
                <w:rFonts w:hint="eastAsia" w:ascii="宋体" w:hAnsi="宋体" w:eastAsia="宋体" w:cs="宋体"/>
                <w:color w:val="000000"/>
                <w:kern w:val="0"/>
                <w:sz w:val="20"/>
              </w:rPr>
            </w:pPr>
          </w:p>
        </w:tc>
        <w:tc>
          <w:tcPr>
            <w:tcW w:w="1765" w:type="dxa"/>
            <w:vMerge w:val="restart"/>
            <w:tcBorders>
              <w:top w:val="single" w:color="000000" w:sz="4" w:space="0"/>
              <w:left w:val="single" w:color="000000" w:sz="4" w:space="0"/>
              <w:bottom w:val="single" w:color="000000" w:sz="4" w:space="0"/>
              <w:right w:val="single" w:color="000000" w:sz="4" w:space="0"/>
            </w:tcBorders>
            <w:vAlign w:val="center"/>
          </w:tcPr>
          <w:p w14:paraId="6B3C06BF">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产出指标</w:t>
            </w:r>
          </w:p>
        </w:tc>
        <w:tc>
          <w:tcPr>
            <w:tcW w:w="1768" w:type="dxa"/>
            <w:tcBorders>
              <w:top w:val="single" w:color="000000" w:sz="4" w:space="0"/>
              <w:left w:val="single" w:color="000000" w:sz="4" w:space="0"/>
              <w:bottom w:val="single" w:color="000000" w:sz="4" w:space="0"/>
              <w:right w:val="single" w:color="000000" w:sz="4" w:space="0"/>
            </w:tcBorders>
            <w:vAlign w:val="center"/>
          </w:tcPr>
          <w:p w14:paraId="0735933E">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数量指标</w:t>
            </w:r>
          </w:p>
        </w:tc>
        <w:tc>
          <w:tcPr>
            <w:tcW w:w="1904" w:type="dxa"/>
            <w:tcBorders>
              <w:top w:val="single" w:color="000000" w:sz="4" w:space="0"/>
              <w:left w:val="single" w:color="000000" w:sz="4" w:space="0"/>
              <w:bottom w:val="single" w:color="000000" w:sz="4" w:space="0"/>
              <w:right w:val="single" w:color="000000" w:sz="4" w:space="0"/>
            </w:tcBorders>
            <w:vAlign w:val="center"/>
          </w:tcPr>
          <w:p w14:paraId="175FBEBA">
            <w:pPr>
              <w:widowControl/>
              <w:jc w:val="center"/>
              <w:textAlignment w:val="center"/>
              <w:rPr>
                <w:rFonts w:hint="eastAsia" w:ascii="宋体" w:hAnsi="宋体" w:eastAsia="宋体" w:cs="宋体"/>
                <w:color w:val="000000"/>
                <w:kern w:val="0"/>
                <w:sz w:val="20"/>
                <w:lang w:eastAsia="zh-CN"/>
              </w:rPr>
            </w:pPr>
          </w:p>
        </w:tc>
        <w:tc>
          <w:tcPr>
            <w:tcW w:w="1632" w:type="dxa"/>
            <w:tcBorders>
              <w:top w:val="single" w:color="000000" w:sz="4" w:space="0"/>
              <w:left w:val="single" w:color="000000" w:sz="4" w:space="0"/>
              <w:bottom w:val="single" w:color="000000" w:sz="4" w:space="0"/>
              <w:right w:val="single" w:color="000000" w:sz="4" w:space="0"/>
            </w:tcBorders>
            <w:vAlign w:val="center"/>
          </w:tcPr>
          <w:p w14:paraId="6349503C">
            <w:pPr>
              <w:widowControl/>
              <w:jc w:val="center"/>
              <w:textAlignment w:val="center"/>
              <w:rPr>
                <w:rFonts w:hint="default" w:ascii="宋体" w:hAnsi="宋体" w:eastAsia="宋体" w:cs="宋体"/>
                <w:color w:val="000000"/>
                <w:kern w:val="0"/>
                <w:sz w:val="20"/>
                <w:lang w:val="en-US" w:eastAsia="zh-CN"/>
              </w:rPr>
            </w:pPr>
          </w:p>
        </w:tc>
      </w:tr>
      <w:tr w14:paraId="4354C84D">
        <w:tblPrEx>
          <w:tblCellMar>
            <w:top w:w="0" w:type="dxa"/>
            <w:left w:w="108" w:type="dxa"/>
            <w:bottom w:w="0" w:type="dxa"/>
            <w:right w:w="108" w:type="dxa"/>
          </w:tblCellMar>
        </w:tblPrEx>
        <w:trPr>
          <w:trHeight w:val="410" w:hRule="atLeast"/>
        </w:trPr>
        <w:tc>
          <w:tcPr>
            <w:tcW w:w="1531" w:type="dxa"/>
            <w:vMerge w:val="continue"/>
            <w:tcBorders>
              <w:top w:val="single" w:color="000000" w:sz="4" w:space="0"/>
              <w:left w:val="single" w:color="000000" w:sz="4" w:space="0"/>
              <w:bottom w:val="single" w:color="000000" w:sz="4" w:space="0"/>
              <w:right w:val="single" w:color="000000" w:sz="4" w:space="0"/>
            </w:tcBorders>
            <w:vAlign w:val="center"/>
          </w:tcPr>
          <w:p w14:paraId="67591A42">
            <w:pPr>
              <w:widowControl/>
              <w:jc w:val="center"/>
              <w:textAlignment w:val="center"/>
              <w:rPr>
                <w:rFonts w:hint="eastAsia" w:ascii="宋体" w:hAnsi="宋体" w:eastAsia="宋体" w:cs="宋体"/>
                <w:color w:val="000000"/>
                <w:kern w:val="0"/>
                <w:sz w:val="20"/>
              </w:rPr>
            </w:pPr>
          </w:p>
        </w:tc>
        <w:tc>
          <w:tcPr>
            <w:tcW w:w="1765" w:type="dxa"/>
            <w:vMerge w:val="continue"/>
            <w:tcBorders>
              <w:top w:val="single" w:color="000000" w:sz="4" w:space="0"/>
              <w:left w:val="single" w:color="000000" w:sz="4" w:space="0"/>
              <w:bottom w:val="single" w:color="000000" w:sz="4" w:space="0"/>
              <w:right w:val="single" w:color="000000" w:sz="4" w:space="0"/>
            </w:tcBorders>
            <w:vAlign w:val="center"/>
          </w:tcPr>
          <w:p w14:paraId="46DCAA62">
            <w:pPr>
              <w:widowControl/>
              <w:jc w:val="center"/>
              <w:textAlignment w:val="center"/>
              <w:rPr>
                <w:rFonts w:hint="eastAsia" w:ascii="宋体" w:hAnsi="宋体" w:eastAsia="宋体" w:cs="宋体"/>
                <w:color w:val="000000"/>
                <w:kern w:val="0"/>
                <w:sz w:val="20"/>
              </w:rPr>
            </w:pPr>
          </w:p>
        </w:tc>
        <w:tc>
          <w:tcPr>
            <w:tcW w:w="1768" w:type="dxa"/>
            <w:tcBorders>
              <w:top w:val="single" w:color="000000" w:sz="4" w:space="0"/>
              <w:left w:val="single" w:color="000000" w:sz="4" w:space="0"/>
              <w:bottom w:val="single" w:color="000000" w:sz="4" w:space="0"/>
              <w:right w:val="single" w:color="000000" w:sz="4" w:space="0"/>
            </w:tcBorders>
            <w:vAlign w:val="center"/>
          </w:tcPr>
          <w:p w14:paraId="4F34139B">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质量指标</w:t>
            </w:r>
          </w:p>
        </w:tc>
        <w:tc>
          <w:tcPr>
            <w:tcW w:w="1904" w:type="dxa"/>
            <w:tcBorders>
              <w:top w:val="single" w:color="000000" w:sz="4" w:space="0"/>
              <w:left w:val="single" w:color="000000" w:sz="4" w:space="0"/>
              <w:bottom w:val="single" w:color="000000" w:sz="4" w:space="0"/>
              <w:right w:val="single" w:color="000000" w:sz="4" w:space="0"/>
            </w:tcBorders>
            <w:vAlign w:val="center"/>
          </w:tcPr>
          <w:p w14:paraId="298244CC">
            <w:pPr>
              <w:widowControl/>
              <w:jc w:val="center"/>
              <w:textAlignment w:val="center"/>
              <w:rPr>
                <w:rFonts w:hint="eastAsia" w:ascii="宋体" w:hAnsi="宋体" w:eastAsia="宋体" w:cs="宋体"/>
                <w:color w:val="000000"/>
                <w:kern w:val="0"/>
                <w:sz w:val="20"/>
              </w:rPr>
            </w:pPr>
          </w:p>
        </w:tc>
        <w:tc>
          <w:tcPr>
            <w:tcW w:w="1632" w:type="dxa"/>
            <w:tcBorders>
              <w:top w:val="single" w:color="000000" w:sz="4" w:space="0"/>
              <w:left w:val="single" w:color="000000" w:sz="4" w:space="0"/>
              <w:bottom w:val="single" w:color="000000" w:sz="4" w:space="0"/>
              <w:right w:val="single" w:color="000000" w:sz="4" w:space="0"/>
            </w:tcBorders>
            <w:vAlign w:val="center"/>
          </w:tcPr>
          <w:p w14:paraId="46D9248C">
            <w:pPr>
              <w:widowControl/>
              <w:jc w:val="center"/>
              <w:textAlignment w:val="center"/>
              <w:rPr>
                <w:rFonts w:hint="eastAsia" w:ascii="宋体" w:hAnsi="宋体" w:eastAsia="宋体" w:cs="宋体"/>
                <w:color w:val="000000"/>
                <w:kern w:val="0"/>
                <w:sz w:val="20"/>
              </w:rPr>
            </w:pPr>
          </w:p>
        </w:tc>
      </w:tr>
      <w:tr w14:paraId="252383EB">
        <w:tblPrEx>
          <w:tblCellMar>
            <w:top w:w="0" w:type="dxa"/>
            <w:left w:w="108" w:type="dxa"/>
            <w:bottom w:w="0" w:type="dxa"/>
            <w:right w:w="108" w:type="dxa"/>
          </w:tblCellMar>
        </w:tblPrEx>
        <w:trPr>
          <w:trHeight w:val="410" w:hRule="atLeast"/>
        </w:trPr>
        <w:tc>
          <w:tcPr>
            <w:tcW w:w="1531" w:type="dxa"/>
            <w:vMerge w:val="continue"/>
            <w:tcBorders>
              <w:top w:val="single" w:color="000000" w:sz="4" w:space="0"/>
              <w:left w:val="single" w:color="000000" w:sz="4" w:space="0"/>
              <w:bottom w:val="single" w:color="000000" w:sz="4" w:space="0"/>
              <w:right w:val="single" w:color="000000" w:sz="4" w:space="0"/>
            </w:tcBorders>
            <w:vAlign w:val="center"/>
          </w:tcPr>
          <w:p w14:paraId="0D4E7201">
            <w:pPr>
              <w:widowControl/>
              <w:jc w:val="center"/>
              <w:textAlignment w:val="center"/>
              <w:rPr>
                <w:rFonts w:hint="eastAsia" w:ascii="宋体" w:hAnsi="宋体" w:eastAsia="宋体" w:cs="宋体"/>
                <w:color w:val="000000"/>
                <w:kern w:val="0"/>
                <w:sz w:val="20"/>
              </w:rPr>
            </w:pPr>
          </w:p>
        </w:tc>
        <w:tc>
          <w:tcPr>
            <w:tcW w:w="1765" w:type="dxa"/>
            <w:vMerge w:val="continue"/>
            <w:tcBorders>
              <w:top w:val="single" w:color="000000" w:sz="4" w:space="0"/>
              <w:left w:val="single" w:color="000000" w:sz="4" w:space="0"/>
              <w:bottom w:val="single" w:color="000000" w:sz="4" w:space="0"/>
              <w:right w:val="single" w:color="000000" w:sz="4" w:space="0"/>
            </w:tcBorders>
            <w:vAlign w:val="center"/>
          </w:tcPr>
          <w:p w14:paraId="5D3CE39D">
            <w:pPr>
              <w:widowControl/>
              <w:jc w:val="center"/>
              <w:textAlignment w:val="center"/>
              <w:rPr>
                <w:rFonts w:hint="eastAsia" w:ascii="宋体" w:hAnsi="宋体" w:eastAsia="宋体" w:cs="宋体"/>
                <w:color w:val="000000"/>
                <w:kern w:val="0"/>
                <w:sz w:val="20"/>
              </w:rPr>
            </w:pPr>
          </w:p>
        </w:tc>
        <w:tc>
          <w:tcPr>
            <w:tcW w:w="1768" w:type="dxa"/>
            <w:tcBorders>
              <w:top w:val="single" w:color="000000" w:sz="4" w:space="0"/>
              <w:left w:val="single" w:color="000000" w:sz="4" w:space="0"/>
              <w:bottom w:val="single" w:color="000000" w:sz="4" w:space="0"/>
              <w:right w:val="single" w:color="000000" w:sz="4" w:space="0"/>
            </w:tcBorders>
            <w:vAlign w:val="center"/>
          </w:tcPr>
          <w:p w14:paraId="29906953">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成本指标</w:t>
            </w:r>
          </w:p>
        </w:tc>
        <w:tc>
          <w:tcPr>
            <w:tcW w:w="1904" w:type="dxa"/>
            <w:tcBorders>
              <w:top w:val="single" w:color="000000" w:sz="4" w:space="0"/>
              <w:left w:val="single" w:color="000000" w:sz="4" w:space="0"/>
              <w:bottom w:val="single" w:color="000000" w:sz="4" w:space="0"/>
              <w:right w:val="single" w:color="000000" w:sz="4" w:space="0"/>
            </w:tcBorders>
            <w:vAlign w:val="center"/>
          </w:tcPr>
          <w:p w14:paraId="67ED7AF2">
            <w:pPr>
              <w:widowControl/>
              <w:jc w:val="center"/>
              <w:textAlignment w:val="center"/>
              <w:rPr>
                <w:rFonts w:hint="eastAsia" w:ascii="宋体" w:hAnsi="宋体" w:eastAsia="宋体" w:cs="宋体"/>
                <w:color w:val="000000"/>
                <w:kern w:val="0"/>
                <w:sz w:val="20"/>
              </w:rPr>
            </w:pPr>
          </w:p>
        </w:tc>
        <w:tc>
          <w:tcPr>
            <w:tcW w:w="1632" w:type="dxa"/>
            <w:tcBorders>
              <w:top w:val="single" w:color="000000" w:sz="4" w:space="0"/>
              <w:left w:val="single" w:color="000000" w:sz="4" w:space="0"/>
              <w:bottom w:val="single" w:color="000000" w:sz="4" w:space="0"/>
              <w:right w:val="single" w:color="000000" w:sz="4" w:space="0"/>
            </w:tcBorders>
            <w:vAlign w:val="center"/>
          </w:tcPr>
          <w:p w14:paraId="389E7D3A">
            <w:pPr>
              <w:widowControl/>
              <w:jc w:val="center"/>
              <w:textAlignment w:val="center"/>
              <w:rPr>
                <w:rFonts w:hint="eastAsia" w:ascii="宋体" w:hAnsi="宋体" w:eastAsia="宋体" w:cs="宋体"/>
                <w:color w:val="000000"/>
                <w:kern w:val="0"/>
                <w:sz w:val="20"/>
              </w:rPr>
            </w:pPr>
          </w:p>
        </w:tc>
      </w:tr>
      <w:tr w14:paraId="2104691B">
        <w:tblPrEx>
          <w:tblCellMar>
            <w:top w:w="0" w:type="dxa"/>
            <w:left w:w="108" w:type="dxa"/>
            <w:bottom w:w="0" w:type="dxa"/>
            <w:right w:w="108" w:type="dxa"/>
          </w:tblCellMar>
        </w:tblPrEx>
        <w:trPr>
          <w:trHeight w:val="410" w:hRule="atLeast"/>
        </w:trPr>
        <w:tc>
          <w:tcPr>
            <w:tcW w:w="1531" w:type="dxa"/>
            <w:vMerge w:val="continue"/>
            <w:tcBorders>
              <w:top w:val="single" w:color="000000" w:sz="4" w:space="0"/>
              <w:left w:val="single" w:color="000000" w:sz="4" w:space="0"/>
              <w:bottom w:val="single" w:color="000000" w:sz="4" w:space="0"/>
              <w:right w:val="single" w:color="000000" w:sz="4" w:space="0"/>
            </w:tcBorders>
            <w:vAlign w:val="center"/>
          </w:tcPr>
          <w:p w14:paraId="5A53B452">
            <w:pPr>
              <w:widowControl/>
              <w:jc w:val="center"/>
              <w:textAlignment w:val="center"/>
              <w:rPr>
                <w:rFonts w:hint="eastAsia" w:ascii="宋体" w:hAnsi="宋体" w:eastAsia="宋体" w:cs="宋体"/>
                <w:color w:val="000000"/>
                <w:kern w:val="0"/>
                <w:sz w:val="20"/>
              </w:rPr>
            </w:pPr>
          </w:p>
        </w:tc>
        <w:tc>
          <w:tcPr>
            <w:tcW w:w="1765" w:type="dxa"/>
            <w:vMerge w:val="continue"/>
            <w:tcBorders>
              <w:top w:val="single" w:color="000000" w:sz="4" w:space="0"/>
              <w:left w:val="single" w:color="000000" w:sz="4" w:space="0"/>
              <w:bottom w:val="single" w:color="000000" w:sz="4" w:space="0"/>
              <w:right w:val="single" w:color="000000" w:sz="4" w:space="0"/>
            </w:tcBorders>
            <w:vAlign w:val="center"/>
          </w:tcPr>
          <w:p w14:paraId="6C51ED6E">
            <w:pPr>
              <w:widowControl/>
              <w:jc w:val="center"/>
              <w:textAlignment w:val="center"/>
              <w:rPr>
                <w:rFonts w:hint="eastAsia" w:ascii="宋体" w:hAnsi="宋体" w:eastAsia="宋体" w:cs="宋体"/>
                <w:color w:val="000000"/>
                <w:kern w:val="0"/>
                <w:sz w:val="20"/>
              </w:rPr>
            </w:pPr>
          </w:p>
        </w:tc>
        <w:tc>
          <w:tcPr>
            <w:tcW w:w="1768" w:type="dxa"/>
            <w:tcBorders>
              <w:top w:val="single" w:color="000000" w:sz="4" w:space="0"/>
              <w:left w:val="single" w:color="000000" w:sz="4" w:space="0"/>
              <w:bottom w:val="single" w:color="000000" w:sz="4" w:space="0"/>
              <w:right w:val="single" w:color="000000" w:sz="4" w:space="0"/>
            </w:tcBorders>
            <w:vAlign w:val="center"/>
          </w:tcPr>
          <w:p w14:paraId="22AA55FD">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时效指标</w:t>
            </w:r>
          </w:p>
        </w:tc>
        <w:tc>
          <w:tcPr>
            <w:tcW w:w="1904" w:type="dxa"/>
            <w:tcBorders>
              <w:top w:val="single" w:color="000000" w:sz="4" w:space="0"/>
              <w:left w:val="single" w:color="000000" w:sz="4" w:space="0"/>
              <w:bottom w:val="single" w:color="000000" w:sz="4" w:space="0"/>
              <w:right w:val="single" w:color="000000" w:sz="4" w:space="0"/>
            </w:tcBorders>
            <w:vAlign w:val="center"/>
          </w:tcPr>
          <w:p w14:paraId="2DD7E5D3">
            <w:pPr>
              <w:widowControl/>
              <w:jc w:val="center"/>
              <w:textAlignment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完成职工托儿费发放</w:t>
            </w:r>
          </w:p>
        </w:tc>
        <w:tc>
          <w:tcPr>
            <w:tcW w:w="1632" w:type="dxa"/>
            <w:tcBorders>
              <w:top w:val="single" w:color="000000" w:sz="4" w:space="0"/>
              <w:left w:val="single" w:color="000000" w:sz="4" w:space="0"/>
              <w:bottom w:val="single" w:color="000000" w:sz="4" w:space="0"/>
              <w:right w:val="single" w:color="000000" w:sz="4" w:space="0"/>
            </w:tcBorders>
            <w:vAlign w:val="center"/>
          </w:tcPr>
          <w:p w14:paraId="5BC4B9E3">
            <w:pPr>
              <w:widowControl/>
              <w:jc w:val="center"/>
              <w:textAlignment w:val="center"/>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100%</w:t>
            </w:r>
          </w:p>
        </w:tc>
      </w:tr>
      <w:tr w14:paraId="060A6024">
        <w:tblPrEx>
          <w:tblCellMar>
            <w:top w:w="0" w:type="dxa"/>
            <w:left w:w="108" w:type="dxa"/>
            <w:bottom w:w="0" w:type="dxa"/>
            <w:right w:w="108" w:type="dxa"/>
          </w:tblCellMar>
        </w:tblPrEx>
        <w:trPr>
          <w:trHeight w:val="574" w:hRule="atLeast"/>
        </w:trPr>
        <w:tc>
          <w:tcPr>
            <w:tcW w:w="1531" w:type="dxa"/>
            <w:vMerge w:val="continue"/>
            <w:tcBorders>
              <w:top w:val="single" w:color="000000" w:sz="4" w:space="0"/>
              <w:left w:val="single" w:color="000000" w:sz="4" w:space="0"/>
              <w:bottom w:val="single" w:color="000000" w:sz="4" w:space="0"/>
              <w:right w:val="single" w:color="000000" w:sz="4" w:space="0"/>
            </w:tcBorders>
            <w:vAlign w:val="center"/>
          </w:tcPr>
          <w:p w14:paraId="6571A90A">
            <w:pPr>
              <w:widowControl/>
              <w:jc w:val="center"/>
              <w:textAlignment w:val="center"/>
              <w:rPr>
                <w:rFonts w:hint="eastAsia" w:ascii="宋体" w:hAnsi="宋体" w:eastAsia="宋体" w:cs="宋体"/>
                <w:color w:val="000000"/>
                <w:kern w:val="0"/>
                <w:sz w:val="20"/>
              </w:rPr>
            </w:pPr>
          </w:p>
        </w:tc>
        <w:tc>
          <w:tcPr>
            <w:tcW w:w="1765" w:type="dxa"/>
            <w:vMerge w:val="restart"/>
            <w:tcBorders>
              <w:top w:val="single" w:color="000000" w:sz="4" w:space="0"/>
              <w:left w:val="single" w:color="000000" w:sz="4" w:space="0"/>
              <w:bottom w:val="single" w:color="000000" w:sz="4" w:space="0"/>
              <w:right w:val="single" w:color="000000" w:sz="4" w:space="0"/>
            </w:tcBorders>
            <w:vAlign w:val="center"/>
          </w:tcPr>
          <w:p w14:paraId="384E50D2">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效果指标</w:t>
            </w:r>
          </w:p>
        </w:tc>
        <w:tc>
          <w:tcPr>
            <w:tcW w:w="1768" w:type="dxa"/>
            <w:tcBorders>
              <w:top w:val="single" w:color="000000" w:sz="4" w:space="0"/>
              <w:left w:val="single" w:color="000000" w:sz="4" w:space="0"/>
              <w:bottom w:val="single" w:color="000000" w:sz="4" w:space="0"/>
              <w:right w:val="single" w:color="000000" w:sz="4" w:space="0"/>
            </w:tcBorders>
            <w:vAlign w:val="center"/>
          </w:tcPr>
          <w:p w14:paraId="4164AEA6">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经济效益指标</w:t>
            </w:r>
          </w:p>
        </w:tc>
        <w:tc>
          <w:tcPr>
            <w:tcW w:w="1904" w:type="dxa"/>
            <w:tcBorders>
              <w:top w:val="single" w:color="000000" w:sz="4" w:space="0"/>
              <w:left w:val="single" w:color="000000" w:sz="4" w:space="0"/>
              <w:bottom w:val="single" w:color="000000" w:sz="4" w:space="0"/>
              <w:right w:val="single" w:color="000000" w:sz="4" w:space="0"/>
            </w:tcBorders>
            <w:vAlign w:val="center"/>
          </w:tcPr>
          <w:p w14:paraId="18BCAF64">
            <w:pPr>
              <w:widowControl/>
              <w:jc w:val="center"/>
              <w:textAlignment w:val="center"/>
              <w:rPr>
                <w:rFonts w:hint="eastAsia" w:ascii="宋体" w:hAnsi="宋体" w:eastAsia="宋体" w:cs="宋体"/>
                <w:color w:val="000000"/>
                <w:kern w:val="0"/>
                <w:sz w:val="20"/>
              </w:rPr>
            </w:pPr>
          </w:p>
        </w:tc>
        <w:tc>
          <w:tcPr>
            <w:tcW w:w="1632" w:type="dxa"/>
            <w:tcBorders>
              <w:top w:val="single" w:color="000000" w:sz="4" w:space="0"/>
              <w:left w:val="single" w:color="000000" w:sz="4" w:space="0"/>
              <w:bottom w:val="single" w:color="000000" w:sz="4" w:space="0"/>
              <w:right w:val="single" w:color="000000" w:sz="4" w:space="0"/>
            </w:tcBorders>
            <w:vAlign w:val="center"/>
          </w:tcPr>
          <w:p w14:paraId="2D4754A8">
            <w:pPr>
              <w:widowControl/>
              <w:jc w:val="center"/>
              <w:textAlignment w:val="center"/>
              <w:rPr>
                <w:rFonts w:hint="eastAsia" w:ascii="宋体" w:hAnsi="宋体" w:eastAsia="宋体" w:cs="宋体"/>
                <w:color w:val="000000"/>
                <w:kern w:val="0"/>
                <w:sz w:val="20"/>
              </w:rPr>
            </w:pPr>
          </w:p>
        </w:tc>
      </w:tr>
      <w:tr w14:paraId="4840EF04">
        <w:tblPrEx>
          <w:tblCellMar>
            <w:top w:w="0" w:type="dxa"/>
            <w:left w:w="108" w:type="dxa"/>
            <w:bottom w:w="0" w:type="dxa"/>
            <w:right w:w="108" w:type="dxa"/>
          </w:tblCellMar>
        </w:tblPrEx>
        <w:trPr>
          <w:trHeight w:val="634" w:hRule="atLeast"/>
        </w:trPr>
        <w:tc>
          <w:tcPr>
            <w:tcW w:w="1531" w:type="dxa"/>
            <w:vMerge w:val="continue"/>
            <w:tcBorders>
              <w:top w:val="single" w:color="000000" w:sz="4" w:space="0"/>
              <w:left w:val="single" w:color="000000" w:sz="4" w:space="0"/>
              <w:bottom w:val="single" w:color="000000" w:sz="4" w:space="0"/>
              <w:right w:val="single" w:color="000000" w:sz="4" w:space="0"/>
            </w:tcBorders>
            <w:vAlign w:val="center"/>
          </w:tcPr>
          <w:p w14:paraId="793C31A7">
            <w:pPr>
              <w:widowControl/>
              <w:jc w:val="center"/>
              <w:textAlignment w:val="center"/>
              <w:rPr>
                <w:rFonts w:hint="eastAsia" w:ascii="宋体" w:hAnsi="宋体" w:eastAsia="宋体" w:cs="宋体"/>
                <w:color w:val="000000"/>
                <w:kern w:val="0"/>
                <w:sz w:val="20"/>
              </w:rPr>
            </w:pPr>
          </w:p>
        </w:tc>
        <w:tc>
          <w:tcPr>
            <w:tcW w:w="1765" w:type="dxa"/>
            <w:vMerge w:val="continue"/>
            <w:tcBorders>
              <w:top w:val="single" w:color="000000" w:sz="4" w:space="0"/>
              <w:left w:val="single" w:color="000000" w:sz="4" w:space="0"/>
              <w:bottom w:val="single" w:color="000000" w:sz="4" w:space="0"/>
              <w:right w:val="single" w:color="000000" w:sz="4" w:space="0"/>
            </w:tcBorders>
            <w:vAlign w:val="center"/>
          </w:tcPr>
          <w:p w14:paraId="7F3E9269">
            <w:pPr>
              <w:widowControl/>
              <w:jc w:val="center"/>
              <w:textAlignment w:val="center"/>
              <w:rPr>
                <w:rFonts w:hint="eastAsia" w:ascii="宋体" w:hAnsi="宋体" w:eastAsia="宋体" w:cs="宋体"/>
                <w:color w:val="000000"/>
                <w:kern w:val="0"/>
                <w:sz w:val="20"/>
              </w:rPr>
            </w:pPr>
          </w:p>
        </w:tc>
        <w:tc>
          <w:tcPr>
            <w:tcW w:w="1768" w:type="dxa"/>
            <w:tcBorders>
              <w:top w:val="single" w:color="000000" w:sz="4" w:space="0"/>
              <w:left w:val="single" w:color="000000" w:sz="4" w:space="0"/>
              <w:bottom w:val="single" w:color="000000" w:sz="4" w:space="0"/>
              <w:right w:val="single" w:color="000000" w:sz="4" w:space="0"/>
            </w:tcBorders>
            <w:vAlign w:val="center"/>
          </w:tcPr>
          <w:p w14:paraId="1F744538">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社会效益指标</w:t>
            </w:r>
          </w:p>
        </w:tc>
        <w:tc>
          <w:tcPr>
            <w:tcW w:w="1904" w:type="dxa"/>
            <w:tcBorders>
              <w:top w:val="single" w:color="000000" w:sz="4" w:space="0"/>
              <w:left w:val="single" w:color="000000" w:sz="4" w:space="0"/>
              <w:bottom w:val="single" w:color="000000" w:sz="4" w:space="0"/>
              <w:right w:val="single" w:color="000000" w:sz="4" w:space="0"/>
            </w:tcBorders>
            <w:vAlign w:val="center"/>
          </w:tcPr>
          <w:p w14:paraId="568D6F7D">
            <w:pPr>
              <w:widowControl/>
              <w:jc w:val="center"/>
              <w:textAlignment w:val="center"/>
              <w:rPr>
                <w:rFonts w:hint="eastAsia" w:ascii="宋体" w:hAnsi="宋体" w:eastAsia="宋体" w:cs="宋体"/>
                <w:color w:val="000000"/>
                <w:kern w:val="0"/>
                <w:sz w:val="20"/>
              </w:rPr>
            </w:pPr>
          </w:p>
        </w:tc>
        <w:tc>
          <w:tcPr>
            <w:tcW w:w="1632" w:type="dxa"/>
            <w:tcBorders>
              <w:top w:val="single" w:color="000000" w:sz="4" w:space="0"/>
              <w:left w:val="single" w:color="000000" w:sz="4" w:space="0"/>
              <w:bottom w:val="single" w:color="000000" w:sz="4" w:space="0"/>
              <w:right w:val="single" w:color="000000" w:sz="4" w:space="0"/>
            </w:tcBorders>
            <w:vAlign w:val="center"/>
          </w:tcPr>
          <w:p w14:paraId="2465E24E">
            <w:pPr>
              <w:widowControl/>
              <w:jc w:val="center"/>
              <w:textAlignment w:val="center"/>
              <w:rPr>
                <w:rFonts w:hint="eastAsia" w:ascii="宋体" w:hAnsi="宋体" w:eastAsia="宋体" w:cs="宋体"/>
                <w:color w:val="000000"/>
                <w:kern w:val="0"/>
                <w:sz w:val="20"/>
              </w:rPr>
            </w:pPr>
          </w:p>
        </w:tc>
      </w:tr>
      <w:tr w14:paraId="5BE591F6">
        <w:tblPrEx>
          <w:tblCellMar>
            <w:top w:w="0" w:type="dxa"/>
            <w:left w:w="108" w:type="dxa"/>
            <w:bottom w:w="0" w:type="dxa"/>
            <w:right w:w="108" w:type="dxa"/>
          </w:tblCellMar>
        </w:tblPrEx>
        <w:trPr>
          <w:trHeight w:val="619" w:hRule="atLeast"/>
        </w:trPr>
        <w:tc>
          <w:tcPr>
            <w:tcW w:w="1531" w:type="dxa"/>
            <w:vMerge w:val="continue"/>
            <w:tcBorders>
              <w:top w:val="single" w:color="000000" w:sz="4" w:space="0"/>
              <w:left w:val="single" w:color="000000" w:sz="4" w:space="0"/>
              <w:bottom w:val="single" w:color="000000" w:sz="4" w:space="0"/>
              <w:right w:val="single" w:color="000000" w:sz="4" w:space="0"/>
            </w:tcBorders>
            <w:vAlign w:val="center"/>
          </w:tcPr>
          <w:p w14:paraId="22FD3910">
            <w:pPr>
              <w:widowControl/>
              <w:jc w:val="center"/>
              <w:textAlignment w:val="center"/>
              <w:rPr>
                <w:rFonts w:hint="eastAsia" w:ascii="宋体" w:hAnsi="宋体" w:eastAsia="宋体" w:cs="宋体"/>
                <w:color w:val="000000"/>
                <w:kern w:val="0"/>
                <w:sz w:val="20"/>
              </w:rPr>
            </w:pPr>
          </w:p>
        </w:tc>
        <w:tc>
          <w:tcPr>
            <w:tcW w:w="1765" w:type="dxa"/>
            <w:vMerge w:val="continue"/>
            <w:tcBorders>
              <w:top w:val="single" w:color="000000" w:sz="4" w:space="0"/>
              <w:left w:val="single" w:color="000000" w:sz="4" w:space="0"/>
              <w:bottom w:val="single" w:color="000000" w:sz="4" w:space="0"/>
              <w:right w:val="single" w:color="000000" w:sz="4" w:space="0"/>
            </w:tcBorders>
            <w:vAlign w:val="center"/>
          </w:tcPr>
          <w:p w14:paraId="564EB494">
            <w:pPr>
              <w:widowControl/>
              <w:jc w:val="center"/>
              <w:textAlignment w:val="center"/>
              <w:rPr>
                <w:rFonts w:hint="eastAsia" w:ascii="宋体" w:hAnsi="宋体" w:eastAsia="宋体" w:cs="宋体"/>
                <w:color w:val="000000"/>
                <w:kern w:val="0"/>
                <w:sz w:val="20"/>
              </w:rPr>
            </w:pPr>
          </w:p>
        </w:tc>
        <w:tc>
          <w:tcPr>
            <w:tcW w:w="1768" w:type="dxa"/>
            <w:tcBorders>
              <w:top w:val="single" w:color="000000" w:sz="4" w:space="0"/>
              <w:left w:val="single" w:color="000000" w:sz="4" w:space="0"/>
              <w:bottom w:val="single" w:color="000000" w:sz="4" w:space="0"/>
              <w:right w:val="single" w:color="000000" w:sz="4" w:space="0"/>
            </w:tcBorders>
            <w:vAlign w:val="center"/>
          </w:tcPr>
          <w:p w14:paraId="44E84583">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生态效益指标</w:t>
            </w:r>
          </w:p>
        </w:tc>
        <w:tc>
          <w:tcPr>
            <w:tcW w:w="1904" w:type="dxa"/>
            <w:tcBorders>
              <w:top w:val="single" w:color="000000" w:sz="4" w:space="0"/>
              <w:left w:val="single" w:color="000000" w:sz="4" w:space="0"/>
              <w:bottom w:val="single" w:color="000000" w:sz="4" w:space="0"/>
              <w:right w:val="single" w:color="000000" w:sz="4" w:space="0"/>
            </w:tcBorders>
            <w:vAlign w:val="center"/>
          </w:tcPr>
          <w:p w14:paraId="2D1B354B">
            <w:pPr>
              <w:widowControl/>
              <w:jc w:val="center"/>
              <w:textAlignment w:val="center"/>
              <w:rPr>
                <w:rFonts w:hint="eastAsia" w:ascii="宋体" w:hAnsi="宋体" w:eastAsia="宋体" w:cs="宋体"/>
                <w:color w:val="000000"/>
                <w:kern w:val="0"/>
                <w:sz w:val="20"/>
              </w:rPr>
            </w:pPr>
          </w:p>
        </w:tc>
        <w:tc>
          <w:tcPr>
            <w:tcW w:w="1632" w:type="dxa"/>
            <w:tcBorders>
              <w:top w:val="single" w:color="000000" w:sz="4" w:space="0"/>
              <w:left w:val="single" w:color="000000" w:sz="4" w:space="0"/>
              <w:bottom w:val="single" w:color="000000" w:sz="4" w:space="0"/>
              <w:right w:val="single" w:color="000000" w:sz="4" w:space="0"/>
            </w:tcBorders>
            <w:vAlign w:val="center"/>
          </w:tcPr>
          <w:p w14:paraId="37180A47">
            <w:pPr>
              <w:widowControl/>
              <w:jc w:val="center"/>
              <w:textAlignment w:val="center"/>
              <w:rPr>
                <w:rFonts w:hint="eastAsia" w:ascii="宋体" w:hAnsi="宋体" w:eastAsia="宋体" w:cs="宋体"/>
                <w:color w:val="000000"/>
                <w:kern w:val="0"/>
                <w:sz w:val="20"/>
              </w:rPr>
            </w:pPr>
          </w:p>
        </w:tc>
      </w:tr>
      <w:tr w14:paraId="2744D5D9">
        <w:tblPrEx>
          <w:tblCellMar>
            <w:top w:w="0" w:type="dxa"/>
            <w:left w:w="108" w:type="dxa"/>
            <w:bottom w:w="0" w:type="dxa"/>
            <w:right w:w="108" w:type="dxa"/>
          </w:tblCellMar>
        </w:tblPrEx>
        <w:trPr>
          <w:trHeight w:val="743" w:hRule="atLeast"/>
        </w:trPr>
        <w:tc>
          <w:tcPr>
            <w:tcW w:w="1531" w:type="dxa"/>
            <w:vMerge w:val="continue"/>
            <w:tcBorders>
              <w:top w:val="single" w:color="000000" w:sz="4" w:space="0"/>
              <w:left w:val="single" w:color="000000" w:sz="4" w:space="0"/>
              <w:bottom w:val="single" w:color="000000" w:sz="4" w:space="0"/>
              <w:right w:val="single" w:color="000000" w:sz="4" w:space="0"/>
            </w:tcBorders>
            <w:vAlign w:val="center"/>
          </w:tcPr>
          <w:p w14:paraId="469371D2">
            <w:pPr>
              <w:widowControl/>
              <w:jc w:val="center"/>
              <w:textAlignment w:val="center"/>
              <w:rPr>
                <w:rFonts w:hint="eastAsia" w:ascii="宋体" w:hAnsi="宋体" w:eastAsia="宋体" w:cs="宋体"/>
                <w:color w:val="000000"/>
                <w:kern w:val="0"/>
                <w:sz w:val="20"/>
              </w:rPr>
            </w:pPr>
          </w:p>
        </w:tc>
        <w:tc>
          <w:tcPr>
            <w:tcW w:w="1765" w:type="dxa"/>
            <w:vMerge w:val="continue"/>
            <w:tcBorders>
              <w:top w:val="single" w:color="000000" w:sz="4" w:space="0"/>
              <w:left w:val="single" w:color="000000" w:sz="4" w:space="0"/>
              <w:bottom w:val="single" w:color="000000" w:sz="4" w:space="0"/>
              <w:right w:val="single" w:color="000000" w:sz="4" w:space="0"/>
            </w:tcBorders>
            <w:vAlign w:val="center"/>
          </w:tcPr>
          <w:p w14:paraId="0244AA2A">
            <w:pPr>
              <w:widowControl/>
              <w:jc w:val="center"/>
              <w:textAlignment w:val="center"/>
              <w:rPr>
                <w:rFonts w:hint="eastAsia" w:ascii="宋体" w:hAnsi="宋体" w:eastAsia="宋体" w:cs="宋体"/>
                <w:color w:val="000000"/>
                <w:kern w:val="0"/>
                <w:sz w:val="20"/>
              </w:rPr>
            </w:pPr>
          </w:p>
        </w:tc>
        <w:tc>
          <w:tcPr>
            <w:tcW w:w="1768" w:type="dxa"/>
            <w:tcBorders>
              <w:top w:val="single" w:color="000000" w:sz="4" w:space="0"/>
              <w:left w:val="single" w:color="000000" w:sz="4" w:space="0"/>
              <w:bottom w:val="single" w:color="000000" w:sz="4" w:space="0"/>
              <w:right w:val="single" w:color="000000" w:sz="4" w:space="0"/>
            </w:tcBorders>
            <w:vAlign w:val="center"/>
          </w:tcPr>
          <w:p w14:paraId="135AF75F">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可持续影响指标</w:t>
            </w:r>
          </w:p>
        </w:tc>
        <w:tc>
          <w:tcPr>
            <w:tcW w:w="1904" w:type="dxa"/>
            <w:tcBorders>
              <w:top w:val="single" w:color="000000" w:sz="4" w:space="0"/>
              <w:left w:val="single" w:color="000000" w:sz="4" w:space="0"/>
              <w:bottom w:val="single" w:color="000000" w:sz="4" w:space="0"/>
              <w:right w:val="single" w:color="000000" w:sz="4" w:space="0"/>
            </w:tcBorders>
            <w:vAlign w:val="center"/>
          </w:tcPr>
          <w:p w14:paraId="68AB97E5">
            <w:pPr>
              <w:widowControl/>
              <w:jc w:val="center"/>
              <w:textAlignment w:val="center"/>
              <w:rPr>
                <w:rFonts w:hint="eastAsia" w:ascii="宋体" w:hAnsi="宋体" w:eastAsia="宋体" w:cs="宋体"/>
                <w:color w:val="000000"/>
                <w:kern w:val="0"/>
                <w:sz w:val="20"/>
              </w:rPr>
            </w:pPr>
          </w:p>
        </w:tc>
        <w:tc>
          <w:tcPr>
            <w:tcW w:w="1632" w:type="dxa"/>
            <w:tcBorders>
              <w:top w:val="single" w:color="000000" w:sz="4" w:space="0"/>
              <w:left w:val="single" w:color="000000" w:sz="4" w:space="0"/>
              <w:bottom w:val="single" w:color="000000" w:sz="4" w:space="0"/>
              <w:right w:val="single" w:color="000000" w:sz="4" w:space="0"/>
            </w:tcBorders>
            <w:vAlign w:val="center"/>
          </w:tcPr>
          <w:p w14:paraId="4D336256">
            <w:pPr>
              <w:widowControl/>
              <w:jc w:val="center"/>
              <w:textAlignment w:val="center"/>
              <w:rPr>
                <w:rFonts w:hint="eastAsia" w:ascii="宋体" w:hAnsi="宋体" w:eastAsia="宋体" w:cs="宋体"/>
                <w:color w:val="000000"/>
                <w:kern w:val="0"/>
                <w:sz w:val="20"/>
              </w:rPr>
            </w:pPr>
          </w:p>
        </w:tc>
      </w:tr>
      <w:tr w14:paraId="7269B25D">
        <w:tblPrEx>
          <w:tblCellMar>
            <w:top w:w="0" w:type="dxa"/>
            <w:left w:w="108" w:type="dxa"/>
            <w:bottom w:w="0" w:type="dxa"/>
            <w:right w:w="108" w:type="dxa"/>
          </w:tblCellMar>
        </w:tblPrEx>
        <w:trPr>
          <w:trHeight w:val="625" w:hRule="atLeast"/>
        </w:trPr>
        <w:tc>
          <w:tcPr>
            <w:tcW w:w="1531" w:type="dxa"/>
            <w:vMerge w:val="continue"/>
            <w:tcBorders>
              <w:top w:val="single" w:color="000000" w:sz="4" w:space="0"/>
              <w:left w:val="single" w:color="000000" w:sz="4" w:space="0"/>
              <w:bottom w:val="single" w:color="000000" w:sz="4" w:space="0"/>
              <w:right w:val="single" w:color="000000" w:sz="4" w:space="0"/>
            </w:tcBorders>
            <w:vAlign w:val="center"/>
          </w:tcPr>
          <w:p w14:paraId="5BD3E672">
            <w:pPr>
              <w:jc w:val="center"/>
              <w:rPr>
                <w:rFonts w:ascii="华文细黑" w:hAnsi="华文细黑" w:eastAsia="华文细黑" w:cs="华文细黑"/>
                <w:color w:val="000000"/>
                <w:sz w:val="20"/>
              </w:rPr>
            </w:pPr>
          </w:p>
        </w:tc>
        <w:tc>
          <w:tcPr>
            <w:tcW w:w="1765" w:type="dxa"/>
            <w:vMerge w:val="continue"/>
            <w:tcBorders>
              <w:top w:val="single" w:color="000000" w:sz="4" w:space="0"/>
              <w:left w:val="single" w:color="000000" w:sz="4" w:space="0"/>
              <w:bottom w:val="single" w:color="000000" w:sz="4" w:space="0"/>
              <w:right w:val="single" w:color="000000" w:sz="4" w:space="0"/>
            </w:tcBorders>
            <w:vAlign w:val="center"/>
          </w:tcPr>
          <w:p w14:paraId="23613BEE">
            <w:pPr>
              <w:jc w:val="center"/>
              <w:rPr>
                <w:rFonts w:ascii="华文细黑" w:hAnsi="华文细黑" w:eastAsia="华文细黑" w:cs="华文细黑"/>
                <w:color w:val="000000"/>
                <w:sz w:val="20"/>
              </w:rPr>
            </w:pPr>
          </w:p>
        </w:tc>
        <w:tc>
          <w:tcPr>
            <w:tcW w:w="1768" w:type="dxa"/>
            <w:tcBorders>
              <w:top w:val="single" w:color="000000" w:sz="4" w:space="0"/>
              <w:left w:val="single" w:color="000000" w:sz="4" w:space="0"/>
              <w:bottom w:val="single" w:color="000000" w:sz="4" w:space="0"/>
              <w:right w:val="single" w:color="000000" w:sz="4" w:space="0"/>
            </w:tcBorders>
            <w:vAlign w:val="center"/>
          </w:tcPr>
          <w:p w14:paraId="1CD70277">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满意度指标</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0EB4F">
            <w:pPr>
              <w:widowControl/>
              <w:jc w:val="left"/>
              <w:textAlignment w:val="center"/>
              <w:rPr>
                <w:rFonts w:hint="eastAsia" w:ascii="宋体" w:hAnsi="宋体" w:eastAsia="宋体" w:cs="宋体"/>
                <w:color w:val="000000"/>
                <w:kern w:val="2"/>
                <w:sz w:val="20"/>
                <w:lang w:val="en-US" w:eastAsia="zh-CN" w:bidi="ar-SA"/>
              </w:rPr>
            </w:pPr>
            <w:r>
              <w:rPr>
                <w:rFonts w:hint="eastAsia" w:ascii="宋体" w:hAnsi="宋体" w:eastAsia="宋体" w:cs="宋体"/>
                <w:color w:val="000000"/>
                <w:kern w:val="0"/>
                <w:sz w:val="20"/>
                <w:lang w:eastAsia="zh-CN"/>
              </w:rPr>
              <w:t>职工</w:t>
            </w:r>
            <w:r>
              <w:rPr>
                <w:rFonts w:hint="eastAsia" w:ascii="宋体" w:hAnsi="宋体" w:eastAsia="宋体" w:cs="宋体"/>
                <w:color w:val="000000"/>
                <w:kern w:val="0"/>
                <w:sz w:val="20"/>
              </w:rPr>
              <w:t>满意度</w:t>
            </w:r>
          </w:p>
        </w:tc>
        <w:tc>
          <w:tcPr>
            <w:tcW w:w="1632" w:type="dxa"/>
            <w:tcBorders>
              <w:top w:val="single" w:color="000000" w:sz="4" w:space="0"/>
              <w:left w:val="single" w:color="000000" w:sz="4" w:space="0"/>
              <w:bottom w:val="single" w:color="000000" w:sz="4" w:space="0"/>
              <w:right w:val="single" w:color="000000" w:sz="4" w:space="0"/>
            </w:tcBorders>
            <w:vAlign w:val="center"/>
          </w:tcPr>
          <w:p w14:paraId="2B46D5F2">
            <w:pPr>
              <w:widowControl/>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≥95分</w:t>
            </w:r>
          </w:p>
        </w:tc>
      </w:tr>
    </w:tbl>
    <w:p w14:paraId="13ADD542">
      <w:pPr>
        <w:ind w:firstLine="640" w:firstLineChars="200"/>
        <w:jc w:val="center"/>
        <w:rPr>
          <w:rFonts w:eastAsia="黑体"/>
        </w:rPr>
      </w:pPr>
    </w:p>
    <w:p w14:paraId="49A2E162">
      <w:pPr>
        <w:ind w:firstLine="640" w:firstLineChars="200"/>
        <w:jc w:val="center"/>
        <w:rPr>
          <w:rFonts w:eastAsia="黑体"/>
        </w:rPr>
      </w:pPr>
    </w:p>
    <w:p w14:paraId="31F1F5D4">
      <w:pPr>
        <w:ind w:firstLine="640" w:firstLineChars="200"/>
        <w:jc w:val="center"/>
        <w:rPr>
          <w:rFonts w:eastAsia="黑体"/>
        </w:rPr>
      </w:pPr>
    </w:p>
    <w:p w14:paraId="58AAF1FC">
      <w:pPr>
        <w:ind w:firstLine="640" w:firstLineChars="200"/>
        <w:jc w:val="center"/>
        <w:rPr>
          <w:rFonts w:eastAsia="黑体"/>
        </w:rPr>
      </w:pPr>
    </w:p>
    <w:p w14:paraId="3365D6F7">
      <w:pPr>
        <w:ind w:firstLine="640" w:firstLineChars="200"/>
        <w:jc w:val="center"/>
        <w:rPr>
          <w:rFonts w:eastAsia="黑体"/>
        </w:rPr>
      </w:pPr>
    </w:p>
    <w:p w14:paraId="733169A1">
      <w:pPr>
        <w:ind w:firstLine="2880" w:firstLineChars="900"/>
        <w:jc w:val="both"/>
        <w:rPr>
          <w:rFonts w:eastAsia="黑体"/>
        </w:rPr>
      </w:pPr>
      <w:r>
        <w:rPr>
          <w:rFonts w:eastAsia="黑体"/>
        </w:rPr>
        <w:t>第三部分 情况说明</w:t>
      </w:r>
    </w:p>
    <w:p w14:paraId="596ADE09">
      <w:pPr>
        <w:rPr>
          <w:rFonts w:eastAsia="仿宋"/>
          <w:szCs w:val="32"/>
        </w:rPr>
      </w:pPr>
    </w:p>
    <w:p w14:paraId="1338DC0B">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6</w:t>
      </w:r>
      <w:r>
        <w:rPr>
          <w:rFonts w:eastAsia="黑体"/>
          <w:szCs w:val="32"/>
        </w:rPr>
        <w:t>年收支预算总体情况</w:t>
      </w:r>
    </w:p>
    <w:p w14:paraId="3D16664B">
      <w:pPr>
        <w:ind w:firstLine="640" w:firstLineChars="200"/>
        <w:rPr>
          <w:rFonts w:hint="eastAsia" w:eastAsia="仿宋_GB2312"/>
          <w:szCs w:val="32"/>
          <w:lang w:eastAsia="zh-CN"/>
        </w:rPr>
      </w:pPr>
      <w:r>
        <w:rPr>
          <w:szCs w:val="32"/>
        </w:rPr>
        <w:t>按照综合预算的原则，所有收入和支出全部纳入部门预算管理。收入包括：一般公共预算拨款收入、政府性基金预算拨款收入、</w:t>
      </w:r>
      <w:r>
        <w:rPr>
          <w:rFonts w:hint="eastAsia"/>
          <w:szCs w:val="32"/>
        </w:rPr>
        <w:t>国有资本经营预算拨款收入、财政专户管理资金收入、</w:t>
      </w:r>
      <w:r>
        <w:rPr>
          <w:szCs w:val="32"/>
        </w:rPr>
        <w:t>事业收入、</w:t>
      </w:r>
      <w:r>
        <w:rPr>
          <w:rFonts w:hint="eastAsia"/>
          <w:szCs w:val="32"/>
        </w:rPr>
        <w:t>上级补助收入</w:t>
      </w:r>
      <w:r>
        <w:rPr>
          <w:szCs w:val="32"/>
        </w:rPr>
        <w:t>、</w:t>
      </w:r>
      <w:r>
        <w:rPr>
          <w:rFonts w:hint="eastAsia"/>
          <w:szCs w:val="32"/>
        </w:rPr>
        <w:t>附属单位上缴收入、</w:t>
      </w:r>
      <w:r>
        <w:rPr>
          <w:szCs w:val="32"/>
        </w:rPr>
        <w:t>事业单位经营收入</w:t>
      </w:r>
      <w:r>
        <w:rPr>
          <w:rFonts w:hint="eastAsia"/>
          <w:szCs w:val="32"/>
        </w:rPr>
        <w:t>、</w:t>
      </w:r>
      <w:r>
        <w:rPr>
          <w:szCs w:val="32"/>
        </w:rPr>
        <w:t>其他收入、用事业基金弥补收支差额、上年结转</w:t>
      </w:r>
      <w:r>
        <w:rPr>
          <w:rFonts w:hint="eastAsia"/>
          <w:szCs w:val="32"/>
        </w:rPr>
        <w:t>结余</w:t>
      </w:r>
      <w:r>
        <w:rPr>
          <w:szCs w:val="32"/>
        </w:rPr>
        <w:t>等；支出包括：一般公共服务支出、教育支出、科学技术支出、文化</w:t>
      </w:r>
      <w:r>
        <w:rPr>
          <w:rFonts w:hint="eastAsia"/>
          <w:szCs w:val="32"/>
        </w:rPr>
        <w:t>旅游</w:t>
      </w:r>
      <w:r>
        <w:rPr>
          <w:szCs w:val="32"/>
        </w:rPr>
        <w:t>体育与传媒支出、社会保障和就业支出、农林水支出、住房保障支出、结转下年支出等。</w:t>
      </w:r>
      <w:r>
        <w:rPr>
          <w:rFonts w:hint="eastAsia"/>
          <w:szCs w:val="32"/>
          <w:lang w:eastAsia="zh-CN"/>
        </w:rPr>
        <w:t>202</w:t>
      </w:r>
      <w:r>
        <w:rPr>
          <w:rFonts w:hint="eastAsia"/>
          <w:szCs w:val="32"/>
          <w:lang w:val="en-US" w:eastAsia="zh-CN"/>
        </w:rPr>
        <w:t>6</w:t>
      </w:r>
      <w:r>
        <w:rPr>
          <w:szCs w:val="32"/>
        </w:rPr>
        <w:t>年收支总预算</w:t>
      </w:r>
      <w:r>
        <w:rPr>
          <w:rFonts w:hint="eastAsia"/>
          <w:szCs w:val="32"/>
          <w:u w:val="single"/>
          <w:lang w:val="en-US" w:eastAsia="zh-CN"/>
        </w:rPr>
        <w:t>396.62</w:t>
      </w:r>
      <w:r>
        <w:rPr>
          <w:szCs w:val="32"/>
        </w:rPr>
        <w:t>万元</w:t>
      </w:r>
      <w:r>
        <w:rPr>
          <w:rFonts w:hint="eastAsia"/>
          <w:szCs w:val="32"/>
        </w:rPr>
        <w:t>，其中：当年预算</w:t>
      </w:r>
      <w:r>
        <w:rPr>
          <w:szCs w:val="32"/>
        </w:rPr>
        <w:t>_</w:t>
      </w:r>
      <w:r>
        <w:rPr>
          <w:rFonts w:hint="eastAsia"/>
          <w:szCs w:val="32"/>
          <w:u w:val="single"/>
          <w:lang w:val="en-US" w:eastAsia="zh-CN"/>
        </w:rPr>
        <w:t>396.62</w:t>
      </w:r>
      <w:r>
        <w:rPr>
          <w:rFonts w:hint="eastAsia"/>
          <w:szCs w:val="32"/>
        </w:rPr>
        <w:t>万元；上年结转</w:t>
      </w:r>
      <w:r>
        <w:rPr>
          <w:szCs w:val="32"/>
        </w:rPr>
        <w:t>__</w:t>
      </w:r>
      <w:r>
        <w:rPr>
          <w:rFonts w:hint="eastAsia"/>
          <w:szCs w:val="32"/>
          <w:u w:val="single"/>
        </w:rPr>
        <w:t>0</w:t>
      </w:r>
      <w:r>
        <w:rPr>
          <w:szCs w:val="32"/>
          <w:u w:val="single"/>
        </w:rPr>
        <w:t>_</w:t>
      </w:r>
      <w:r>
        <w:rPr>
          <w:szCs w:val="32"/>
        </w:rPr>
        <w:t>_</w:t>
      </w:r>
      <w:r>
        <w:rPr>
          <w:rFonts w:hint="eastAsia"/>
          <w:szCs w:val="32"/>
        </w:rPr>
        <w:t>万元。</w:t>
      </w:r>
      <w:r>
        <w:rPr>
          <w:rFonts w:hint="eastAsia"/>
          <w:szCs w:val="32"/>
          <w:lang w:eastAsia="zh-CN"/>
        </w:rPr>
        <w:t>202</w:t>
      </w:r>
      <w:r>
        <w:rPr>
          <w:rFonts w:hint="eastAsia"/>
          <w:szCs w:val="32"/>
          <w:lang w:val="en-US" w:eastAsia="zh-CN"/>
        </w:rPr>
        <w:t>6</w:t>
      </w:r>
      <w:r>
        <w:rPr>
          <w:rFonts w:hint="eastAsia"/>
          <w:szCs w:val="32"/>
        </w:rPr>
        <w:t>年当年预算</w:t>
      </w:r>
      <w:r>
        <w:rPr>
          <w:szCs w:val="32"/>
        </w:rPr>
        <w:t>比</w:t>
      </w:r>
      <w:r>
        <w:rPr>
          <w:rFonts w:hint="eastAsia"/>
          <w:szCs w:val="32"/>
          <w:lang w:eastAsia="zh-CN"/>
        </w:rPr>
        <w:t>202</w:t>
      </w:r>
      <w:r>
        <w:rPr>
          <w:rFonts w:hint="eastAsia"/>
          <w:szCs w:val="32"/>
          <w:lang w:val="en-US" w:eastAsia="zh-CN"/>
        </w:rPr>
        <w:t>5</w:t>
      </w:r>
      <w:r>
        <w:rPr>
          <w:szCs w:val="32"/>
        </w:rPr>
        <w:t>年预算</w:t>
      </w:r>
      <w:r>
        <w:rPr>
          <w:rFonts w:hint="eastAsia"/>
          <w:szCs w:val="32"/>
          <w:lang w:val="en-US" w:eastAsia="zh-CN"/>
        </w:rPr>
        <w:t>增加</w:t>
      </w:r>
      <w:r>
        <w:rPr>
          <w:szCs w:val="32"/>
        </w:rPr>
        <w:t>_</w:t>
      </w:r>
      <w:r>
        <w:rPr>
          <w:rFonts w:hint="eastAsia"/>
          <w:szCs w:val="32"/>
          <w:u w:val="single"/>
          <w:lang w:val="en-US" w:eastAsia="zh-CN"/>
        </w:rPr>
        <w:t>12.15</w:t>
      </w:r>
      <w:r>
        <w:rPr>
          <w:szCs w:val="32"/>
        </w:rPr>
        <w:t>万元，</w:t>
      </w:r>
      <w:r>
        <w:rPr>
          <w:rFonts w:hint="eastAsia"/>
          <w:szCs w:val="32"/>
          <w:lang w:eastAsia="zh-CN"/>
        </w:rPr>
        <w:t>主要原因为本年度人员工资正常晋升，各类保险基数增加，导致本年度预算增加。</w:t>
      </w:r>
    </w:p>
    <w:p w14:paraId="1C7F94EF">
      <w:pPr>
        <w:ind w:firstLine="640" w:firstLineChars="200"/>
        <w:rPr>
          <w:rFonts w:eastAsia="黑体"/>
          <w:szCs w:val="32"/>
        </w:rPr>
      </w:pPr>
      <w:r>
        <w:rPr>
          <w:rFonts w:eastAsia="黑体"/>
          <w:szCs w:val="32"/>
        </w:rPr>
        <w:t>二、</w:t>
      </w:r>
      <w:r>
        <w:rPr>
          <w:rFonts w:hint="eastAsia" w:eastAsia="黑体"/>
          <w:szCs w:val="32"/>
          <w:lang w:eastAsia="zh-CN"/>
        </w:rPr>
        <w:t>2025</w:t>
      </w:r>
      <w:r>
        <w:rPr>
          <w:rFonts w:eastAsia="黑体"/>
          <w:szCs w:val="32"/>
        </w:rPr>
        <w:t>年收入预算情况</w:t>
      </w:r>
    </w:p>
    <w:p w14:paraId="56B6D1F8">
      <w:pPr>
        <w:ind w:firstLine="640" w:firstLineChars="200"/>
        <w:rPr>
          <w:szCs w:val="32"/>
        </w:rPr>
      </w:pPr>
      <w:r>
        <w:rPr>
          <w:rFonts w:hint="eastAsia"/>
          <w:szCs w:val="32"/>
          <w:lang w:eastAsia="zh-CN"/>
        </w:rPr>
        <w:t>202</w:t>
      </w:r>
      <w:r>
        <w:rPr>
          <w:rFonts w:hint="eastAsia"/>
          <w:szCs w:val="32"/>
          <w:lang w:val="en-US" w:eastAsia="zh-CN"/>
        </w:rPr>
        <w:t>6</w:t>
      </w:r>
      <w:r>
        <w:rPr>
          <w:szCs w:val="32"/>
        </w:rPr>
        <w:t>年收入预算_</w:t>
      </w:r>
      <w:r>
        <w:rPr>
          <w:rFonts w:hint="eastAsia"/>
          <w:szCs w:val="32"/>
          <w:u w:val="single"/>
          <w:lang w:val="en-US" w:eastAsia="zh-CN"/>
        </w:rPr>
        <w:t>396.62</w:t>
      </w:r>
      <w:r>
        <w:rPr>
          <w:szCs w:val="32"/>
        </w:rPr>
        <w:t>万元，其中：本年收入_</w:t>
      </w:r>
      <w:r>
        <w:rPr>
          <w:rFonts w:hint="eastAsia"/>
          <w:szCs w:val="32"/>
          <w:u w:val="single"/>
          <w:lang w:val="en-US" w:eastAsia="zh-CN"/>
        </w:rPr>
        <w:t>396.62</w:t>
      </w:r>
      <w:r>
        <w:rPr>
          <w:szCs w:val="32"/>
        </w:rPr>
        <w:t>万元，占</w:t>
      </w:r>
      <w:r>
        <w:rPr>
          <w:rFonts w:hint="eastAsia"/>
          <w:szCs w:val="32"/>
          <w:u w:val="single"/>
        </w:rPr>
        <w:t>100</w:t>
      </w:r>
      <w:r>
        <w:rPr>
          <w:szCs w:val="32"/>
        </w:rPr>
        <w:t>%；上年结转_</w:t>
      </w:r>
      <w:r>
        <w:rPr>
          <w:rFonts w:hint="eastAsia"/>
          <w:szCs w:val="32"/>
          <w:u w:val="single"/>
        </w:rPr>
        <w:t>0</w:t>
      </w:r>
      <w:r>
        <w:rPr>
          <w:szCs w:val="32"/>
        </w:rPr>
        <w:t>万元，占_</w:t>
      </w:r>
      <w:r>
        <w:rPr>
          <w:rFonts w:hint="eastAsia"/>
          <w:szCs w:val="32"/>
          <w:u w:val="single"/>
        </w:rPr>
        <w:t>0</w:t>
      </w:r>
      <w:r>
        <w:rPr>
          <w:szCs w:val="32"/>
        </w:rPr>
        <w:t>_%。本年收入中，一般公共预算拨款收入_</w:t>
      </w:r>
      <w:r>
        <w:rPr>
          <w:rFonts w:hint="eastAsia"/>
          <w:szCs w:val="32"/>
          <w:u w:val="single"/>
          <w:lang w:val="en-US" w:eastAsia="zh-CN"/>
        </w:rPr>
        <w:t>396.62</w:t>
      </w:r>
      <w:r>
        <w:rPr>
          <w:szCs w:val="32"/>
        </w:rPr>
        <w:t>万元，占</w:t>
      </w:r>
      <w:r>
        <w:rPr>
          <w:rFonts w:hint="eastAsia"/>
          <w:szCs w:val="32"/>
          <w:u w:val="single"/>
        </w:rPr>
        <w:t>100</w:t>
      </w:r>
      <w:r>
        <w:rPr>
          <w:szCs w:val="32"/>
        </w:rPr>
        <w:t>_%；政府性基金预算拨款收入_</w:t>
      </w:r>
      <w:r>
        <w:rPr>
          <w:rFonts w:hint="eastAsia"/>
          <w:szCs w:val="32"/>
          <w:u w:val="single"/>
        </w:rPr>
        <w:t>0</w:t>
      </w:r>
      <w:r>
        <w:rPr>
          <w:szCs w:val="32"/>
        </w:rPr>
        <w:t>万元，占_</w:t>
      </w:r>
      <w:r>
        <w:rPr>
          <w:rFonts w:hint="eastAsia"/>
          <w:szCs w:val="32"/>
          <w:u w:val="single"/>
        </w:rPr>
        <w:t>0</w:t>
      </w:r>
      <w:r>
        <w:rPr>
          <w:szCs w:val="32"/>
        </w:rPr>
        <w:t>_%；</w:t>
      </w:r>
      <w:r>
        <w:rPr>
          <w:rFonts w:hint="eastAsia"/>
          <w:szCs w:val="32"/>
        </w:rPr>
        <w:t>国有资本经营</w:t>
      </w:r>
      <w:r>
        <w:rPr>
          <w:szCs w:val="32"/>
        </w:rPr>
        <w:t>预算拨款收入</w:t>
      </w:r>
      <w:r>
        <w:rPr>
          <w:rFonts w:hint="eastAsia"/>
          <w:szCs w:val="32"/>
          <w:u w:val="single"/>
        </w:rPr>
        <w:t>0</w:t>
      </w:r>
      <w:r>
        <w:rPr>
          <w:szCs w:val="32"/>
        </w:rPr>
        <w:t>万元，占_</w:t>
      </w:r>
      <w:r>
        <w:rPr>
          <w:rFonts w:hint="eastAsia"/>
          <w:szCs w:val="32"/>
          <w:u w:val="single"/>
        </w:rPr>
        <w:t>0</w:t>
      </w:r>
      <w:r>
        <w:rPr>
          <w:szCs w:val="32"/>
        </w:rPr>
        <w:t>%；</w:t>
      </w:r>
      <w:r>
        <w:rPr>
          <w:rFonts w:hint="eastAsia"/>
          <w:szCs w:val="32"/>
        </w:rPr>
        <w:t>财政专户管理资金收入</w:t>
      </w:r>
      <w:r>
        <w:rPr>
          <w:szCs w:val="32"/>
        </w:rPr>
        <w:t>_</w:t>
      </w:r>
      <w:r>
        <w:rPr>
          <w:rFonts w:hint="eastAsia"/>
          <w:szCs w:val="32"/>
          <w:u w:val="single"/>
        </w:rPr>
        <w:t>0</w:t>
      </w:r>
      <w:r>
        <w:rPr>
          <w:szCs w:val="32"/>
        </w:rPr>
        <w:t>万元，占_</w:t>
      </w:r>
      <w:r>
        <w:rPr>
          <w:rFonts w:hint="eastAsia"/>
          <w:szCs w:val="32"/>
          <w:u w:val="single"/>
        </w:rPr>
        <w:t>0</w:t>
      </w:r>
      <w:r>
        <w:rPr>
          <w:szCs w:val="32"/>
        </w:rPr>
        <w:t>%；事业收入_</w:t>
      </w:r>
      <w:r>
        <w:rPr>
          <w:rFonts w:hint="eastAsia"/>
          <w:szCs w:val="32"/>
          <w:u w:val="single"/>
        </w:rPr>
        <w:t>0</w:t>
      </w:r>
      <w:r>
        <w:rPr>
          <w:szCs w:val="32"/>
        </w:rPr>
        <w:t>万元，占_</w:t>
      </w:r>
      <w:r>
        <w:rPr>
          <w:rFonts w:hint="eastAsia"/>
          <w:szCs w:val="32"/>
          <w:u w:val="single"/>
        </w:rPr>
        <w:t>0</w:t>
      </w:r>
      <w:r>
        <w:rPr>
          <w:szCs w:val="32"/>
        </w:rPr>
        <w:t>%；</w:t>
      </w:r>
      <w:r>
        <w:rPr>
          <w:rFonts w:hint="eastAsia"/>
          <w:szCs w:val="32"/>
        </w:rPr>
        <w:t>上级补助收入</w:t>
      </w:r>
      <w:r>
        <w:rPr>
          <w:szCs w:val="32"/>
        </w:rPr>
        <w:t>_</w:t>
      </w:r>
      <w:r>
        <w:rPr>
          <w:rFonts w:hint="eastAsia"/>
          <w:szCs w:val="32"/>
          <w:u w:val="single"/>
        </w:rPr>
        <w:t>0</w:t>
      </w:r>
      <w:r>
        <w:rPr>
          <w:szCs w:val="32"/>
        </w:rPr>
        <w:t>万元，占_</w:t>
      </w:r>
      <w:r>
        <w:rPr>
          <w:rFonts w:hint="eastAsia"/>
          <w:szCs w:val="32"/>
          <w:u w:val="single"/>
        </w:rPr>
        <w:t>0</w:t>
      </w:r>
      <w:r>
        <w:rPr>
          <w:szCs w:val="32"/>
        </w:rPr>
        <w:t>%；</w:t>
      </w:r>
      <w:r>
        <w:rPr>
          <w:rFonts w:hint="eastAsia"/>
          <w:szCs w:val="32"/>
        </w:rPr>
        <w:t>附属单位上缴收入</w:t>
      </w:r>
      <w:r>
        <w:rPr>
          <w:szCs w:val="32"/>
        </w:rPr>
        <w:t>_</w:t>
      </w:r>
      <w:r>
        <w:rPr>
          <w:rFonts w:hint="eastAsia"/>
          <w:szCs w:val="32"/>
          <w:u w:val="single"/>
        </w:rPr>
        <w:t>0</w:t>
      </w:r>
      <w:r>
        <w:rPr>
          <w:szCs w:val="32"/>
        </w:rPr>
        <w:t>万元，占_</w:t>
      </w:r>
      <w:r>
        <w:rPr>
          <w:rFonts w:hint="eastAsia"/>
          <w:szCs w:val="32"/>
          <w:u w:val="single"/>
        </w:rPr>
        <w:t>0</w:t>
      </w:r>
      <w:r>
        <w:rPr>
          <w:szCs w:val="32"/>
        </w:rPr>
        <w:t>%；事业单位经营收入_</w:t>
      </w:r>
      <w:r>
        <w:rPr>
          <w:rFonts w:hint="eastAsia"/>
          <w:szCs w:val="32"/>
          <w:u w:val="single"/>
        </w:rPr>
        <w:t>0</w:t>
      </w:r>
      <w:r>
        <w:rPr>
          <w:szCs w:val="32"/>
        </w:rPr>
        <w:t>万元，占_</w:t>
      </w:r>
      <w:r>
        <w:rPr>
          <w:rFonts w:hint="eastAsia"/>
          <w:szCs w:val="32"/>
          <w:u w:val="single"/>
        </w:rPr>
        <w:t>0</w:t>
      </w:r>
      <w:r>
        <w:rPr>
          <w:szCs w:val="32"/>
        </w:rPr>
        <w:t>%；其他收入_</w:t>
      </w:r>
      <w:r>
        <w:rPr>
          <w:rFonts w:hint="eastAsia"/>
          <w:szCs w:val="32"/>
          <w:u w:val="single"/>
        </w:rPr>
        <w:t>0</w:t>
      </w:r>
      <w:r>
        <w:rPr>
          <w:szCs w:val="32"/>
        </w:rPr>
        <w:t>万元，占_</w:t>
      </w:r>
      <w:r>
        <w:rPr>
          <w:rFonts w:hint="eastAsia"/>
          <w:szCs w:val="32"/>
          <w:u w:val="single"/>
        </w:rPr>
        <w:t>0</w:t>
      </w:r>
      <w:r>
        <w:rPr>
          <w:szCs w:val="32"/>
        </w:rPr>
        <w:t>%</w:t>
      </w:r>
      <w:r>
        <w:rPr>
          <w:rFonts w:hint="eastAsia"/>
          <w:szCs w:val="32"/>
        </w:rPr>
        <w:t>。</w:t>
      </w:r>
      <w:r>
        <w:rPr>
          <w:szCs w:val="32"/>
        </w:rPr>
        <w:t>上年结转</w:t>
      </w:r>
      <w:r>
        <w:rPr>
          <w:rFonts w:hint="eastAsia"/>
          <w:szCs w:val="32"/>
        </w:rPr>
        <w:t>中，一般公共预算拨款结转</w:t>
      </w:r>
      <w:r>
        <w:rPr>
          <w:szCs w:val="32"/>
        </w:rPr>
        <w:t>_</w:t>
      </w:r>
      <w:r>
        <w:rPr>
          <w:rFonts w:hint="eastAsia"/>
          <w:szCs w:val="32"/>
          <w:u w:val="single"/>
        </w:rPr>
        <w:t>0</w:t>
      </w:r>
      <w:r>
        <w:rPr>
          <w:szCs w:val="32"/>
        </w:rPr>
        <w:t>万元，占_</w:t>
      </w:r>
      <w:r>
        <w:rPr>
          <w:rFonts w:hint="eastAsia"/>
          <w:szCs w:val="32"/>
          <w:u w:val="single"/>
        </w:rPr>
        <w:t>0</w:t>
      </w:r>
      <w:r>
        <w:rPr>
          <w:szCs w:val="32"/>
        </w:rPr>
        <w:t>%；</w:t>
      </w:r>
      <w:r>
        <w:rPr>
          <w:rFonts w:hint="eastAsia"/>
          <w:szCs w:val="32"/>
        </w:rPr>
        <w:t>政府性基金预算拨款结转</w:t>
      </w:r>
      <w:r>
        <w:rPr>
          <w:szCs w:val="32"/>
        </w:rPr>
        <w:t>_</w:t>
      </w:r>
      <w:r>
        <w:rPr>
          <w:rFonts w:hint="eastAsia"/>
          <w:szCs w:val="32"/>
          <w:u w:val="single"/>
        </w:rPr>
        <w:t>0</w:t>
      </w:r>
      <w:r>
        <w:rPr>
          <w:szCs w:val="32"/>
        </w:rPr>
        <w:t>万元，占_</w:t>
      </w:r>
      <w:r>
        <w:rPr>
          <w:rFonts w:hint="eastAsia"/>
          <w:szCs w:val="32"/>
          <w:u w:val="single"/>
        </w:rPr>
        <w:t>0</w:t>
      </w:r>
      <w:r>
        <w:rPr>
          <w:szCs w:val="32"/>
        </w:rPr>
        <w:t>%；</w:t>
      </w:r>
      <w:r>
        <w:rPr>
          <w:rFonts w:hint="eastAsia"/>
          <w:szCs w:val="32"/>
        </w:rPr>
        <w:t>国有资本经营预算拨款结转</w:t>
      </w:r>
      <w:r>
        <w:rPr>
          <w:szCs w:val="32"/>
        </w:rPr>
        <w:t>_</w:t>
      </w:r>
      <w:r>
        <w:rPr>
          <w:rFonts w:hint="eastAsia"/>
          <w:szCs w:val="32"/>
          <w:u w:val="single"/>
        </w:rPr>
        <w:t>0</w:t>
      </w:r>
      <w:r>
        <w:rPr>
          <w:szCs w:val="32"/>
        </w:rPr>
        <w:t>万元，占_</w:t>
      </w:r>
      <w:r>
        <w:rPr>
          <w:rFonts w:hint="eastAsia"/>
          <w:szCs w:val="32"/>
          <w:u w:val="single"/>
        </w:rPr>
        <w:t>0</w:t>
      </w:r>
      <w:r>
        <w:rPr>
          <w:szCs w:val="32"/>
        </w:rPr>
        <w:t>%；</w:t>
      </w:r>
      <w:r>
        <w:rPr>
          <w:rFonts w:hint="eastAsia"/>
          <w:szCs w:val="32"/>
        </w:rPr>
        <w:t>财政专户管理资金结转结余</w:t>
      </w:r>
      <w:r>
        <w:rPr>
          <w:szCs w:val="32"/>
        </w:rPr>
        <w:t>_</w:t>
      </w:r>
      <w:r>
        <w:rPr>
          <w:rFonts w:hint="eastAsia"/>
          <w:szCs w:val="32"/>
          <w:u w:val="single"/>
        </w:rPr>
        <w:t>0</w:t>
      </w:r>
      <w:r>
        <w:rPr>
          <w:szCs w:val="32"/>
        </w:rPr>
        <w:t>万元，占_</w:t>
      </w:r>
      <w:r>
        <w:rPr>
          <w:rFonts w:hint="eastAsia"/>
          <w:szCs w:val="32"/>
          <w:u w:val="single"/>
        </w:rPr>
        <w:t>0</w:t>
      </w:r>
      <w:r>
        <w:rPr>
          <w:szCs w:val="32"/>
        </w:rPr>
        <w:t>%；</w:t>
      </w:r>
      <w:r>
        <w:rPr>
          <w:rFonts w:hint="eastAsia"/>
          <w:szCs w:val="32"/>
        </w:rPr>
        <w:t>单位资金结转</w:t>
      </w:r>
      <w:r>
        <w:rPr>
          <w:szCs w:val="32"/>
        </w:rPr>
        <w:t>_</w:t>
      </w:r>
      <w:r>
        <w:rPr>
          <w:rFonts w:hint="eastAsia"/>
          <w:szCs w:val="32"/>
          <w:u w:val="single"/>
        </w:rPr>
        <w:t>0</w:t>
      </w:r>
      <w:r>
        <w:rPr>
          <w:szCs w:val="32"/>
        </w:rPr>
        <w:t>万元，占_</w:t>
      </w:r>
      <w:r>
        <w:rPr>
          <w:rFonts w:hint="eastAsia"/>
          <w:szCs w:val="32"/>
          <w:u w:val="single"/>
        </w:rPr>
        <w:t>0</w:t>
      </w:r>
      <w:r>
        <w:rPr>
          <w:szCs w:val="32"/>
        </w:rPr>
        <w:t>_%；</w:t>
      </w:r>
      <w:r>
        <w:rPr>
          <w:rFonts w:hint="eastAsia"/>
          <w:szCs w:val="32"/>
        </w:rPr>
        <w:t>用事业基金弥补收支差额</w:t>
      </w:r>
      <w:r>
        <w:rPr>
          <w:szCs w:val="32"/>
        </w:rPr>
        <w:t>_</w:t>
      </w:r>
      <w:r>
        <w:rPr>
          <w:rFonts w:hint="eastAsia"/>
          <w:szCs w:val="32"/>
          <w:u w:val="single"/>
        </w:rPr>
        <w:t>0</w:t>
      </w:r>
      <w:r>
        <w:rPr>
          <w:szCs w:val="32"/>
        </w:rPr>
        <w:t>万元，占_</w:t>
      </w:r>
      <w:r>
        <w:rPr>
          <w:rFonts w:hint="eastAsia"/>
          <w:szCs w:val="32"/>
          <w:u w:val="single"/>
        </w:rPr>
        <w:t>0</w:t>
      </w:r>
      <w:r>
        <w:rPr>
          <w:szCs w:val="32"/>
        </w:rPr>
        <w:t>%</w:t>
      </w:r>
      <w:r>
        <w:rPr>
          <w:rFonts w:hint="eastAsia"/>
          <w:szCs w:val="32"/>
        </w:rPr>
        <w:t>。</w:t>
      </w:r>
    </w:p>
    <w:p w14:paraId="20537070">
      <w:pPr>
        <w:ind w:firstLine="640" w:firstLineChars="200"/>
        <w:rPr>
          <w:rFonts w:eastAsia="黑体"/>
          <w:szCs w:val="32"/>
        </w:rPr>
      </w:pPr>
      <w:r>
        <w:rPr>
          <w:rFonts w:eastAsia="黑体"/>
          <w:szCs w:val="32"/>
        </w:rPr>
        <w:t>三、</w:t>
      </w:r>
      <w:r>
        <w:rPr>
          <w:rFonts w:hint="eastAsia" w:eastAsia="黑体"/>
          <w:szCs w:val="32"/>
          <w:lang w:eastAsia="zh-CN"/>
        </w:rPr>
        <w:t>202</w:t>
      </w:r>
      <w:r>
        <w:rPr>
          <w:rFonts w:hint="eastAsia" w:eastAsia="黑体"/>
          <w:szCs w:val="32"/>
          <w:lang w:val="en-US" w:eastAsia="zh-CN"/>
        </w:rPr>
        <w:t>6</w:t>
      </w:r>
      <w:r>
        <w:rPr>
          <w:rFonts w:eastAsia="黑体"/>
          <w:szCs w:val="32"/>
        </w:rPr>
        <w:t>年支出预算情况</w:t>
      </w:r>
    </w:p>
    <w:p w14:paraId="485E9375">
      <w:pPr>
        <w:ind w:firstLine="640" w:firstLineChars="200"/>
        <w:rPr>
          <w:szCs w:val="32"/>
        </w:rPr>
      </w:pPr>
      <w:r>
        <w:rPr>
          <w:rFonts w:hint="eastAsia"/>
          <w:szCs w:val="32"/>
          <w:lang w:eastAsia="zh-CN"/>
        </w:rPr>
        <w:t>202</w:t>
      </w:r>
      <w:r>
        <w:rPr>
          <w:rFonts w:hint="eastAsia"/>
          <w:szCs w:val="32"/>
          <w:lang w:val="en-US" w:eastAsia="zh-CN"/>
        </w:rPr>
        <w:t>6</w:t>
      </w:r>
      <w:r>
        <w:rPr>
          <w:szCs w:val="32"/>
        </w:rPr>
        <w:t>年支出预算_</w:t>
      </w:r>
      <w:r>
        <w:rPr>
          <w:rFonts w:hint="eastAsia"/>
          <w:szCs w:val="32"/>
          <w:u w:val="single"/>
          <w:lang w:val="en-US" w:eastAsia="zh-CN"/>
        </w:rPr>
        <w:t>396.62</w:t>
      </w:r>
      <w:r>
        <w:rPr>
          <w:szCs w:val="32"/>
        </w:rPr>
        <w:t>万元，其中：基本支出_</w:t>
      </w:r>
      <w:r>
        <w:rPr>
          <w:rFonts w:hint="eastAsia"/>
          <w:szCs w:val="32"/>
          <w:u w:val="single"/>
          <w:lang w:val="en-US" w:eastAsia="zh-CN"/>
        </w:rPr>
        <w:t>386.17</w:t>
      </w:r>
      <w:r>
        <w:rPr>
          <w:szCs w:val="32"/>
        </w:rPr>
        <w:t>万元，占</w:t>
      </w:r>
      <w:r>
        <w:rPr>
          <w:rFonts w:hint="eastAsia"/>
          <w:szCs w:val="32"/>
          <w:u w:val="single"/>
          <w:lang w:val="en-US" w:eastAsia="zh-CN"/>
        </w:rPr>
        <w:t>97</w:t>
      </w:r>
      <w:r>
        <w:rPr>
          <w:szCs w:val="32"/>
        </w:rPr>
        <w:t>%；项目支出</w:t>
      </w:r>
      <w:r>
        <w:rPr>
          <w:rFonts w:hint="eastAsia"/>
          <w:szCs w:val="32"/>
          <w:lang w:val="en-US" w:eastAsia="zh-CN"/>
        </w:rPr>
        <w:t>10.45</w:t>
      </w:r>
      <w:r>
        <w:rPr>
          <w:szCs w:val="32"/>
        </w:rPr>
        <w:t>万元，占</w:t>
      </w:r>
      <w:r>
        <w:rPr>
          <w:rFonts w:hint="eastAsia"/>
          <w:szCs w:val="32"/>
          <w:u w:val="single"/>
          <w:lang w:val="en-US" w:eastAsia="zh-CN"/>
        </w:rPr>
        <w:t>3</w:t>
      </w:r>
      <w:r>
        <w:rPr>
          <w:szCs w:val="32"/>
        </w:rPr>
        <w:t>%；事业单位经营支出</w:t>
      </w:r>
      <w:r>
        <w:rPr>
          <w:rFonts w:hint="eastAsia"/>
          <w:szCs w:val="32"/>
          <w:u w:val="single"/>
        </w:rPr>
        <w:t>0</w:t>
      </w:r>
      <w:r>
        <w:rPr>
          <w:szCs w:val="32"/>
        </w:rPr>
        <w:t>万元，占</w:t>
      </w:r>
      <w:r>
        <w:rPr>
          <w:rFonts w:hint="eastAsia"/>
          <w:szCs w:val="32"/>
          <w:u w:val="single"/>
        </w:rPr>
        <w:t>0</w:t>
      </w:r>
      <w:r>
        <w:rPr>
          <w:szCs w:val="32"/>
        </w:rPr>
        <w:t>%；上缴上级支出</w:t>
      </w:r>
      <w:r>
        <w:rPr>
          <w:rFonts w:hint="eastAsia"/>
          <w:szCs w:val="32"/>
          <w:u w:val="single"/>
        </w:rPr>
        <w:t>0</w:t>
      </w:r>
      <w:r>
        <w:rPr>
          <w:szCs w:val="32"/>
        </w:rPr>
        <w:t>万元，占</w:t>
      </w:r>
      <w:r>
        <w:rPr>
          <w:rFonts w:hint="eastAsia"/>
          <w:szCs w:val="32"/>
          <w:u w:val="single"/>
        </w:rPr>
        <w:t>0</w:t>
      </w:r>
      <w:r>
        <w:rPr>
          <w:szCs w:val="32"/>
        </w:rPr>
        <w:t>%；对附属单位补助支出</w:t>
      </w:r>
      <w:r>
        <w:rPr>
          <w:rFonts w:hint="eastAsia"/>
          <w:szCs w:val="32"/>
          <w:u w:val="single"/>
        </w:rPr>
        <w:t>0</w:t>
      </w:r>
      <w:r>
        <w:rPr>
          <w:szCs w:val="32"/>
        </w:rPr>
        <w:t>万元，占</w:t>
      </w:r>
      <w:r>
        <w:rPr>
          <w:rFonts w:hint="eastAsia"/>
          <w:szCs w:val="32"/>
          <w:u w:val="single"/>
        </w:rPr>
        <w:t>0</w:t>
      </w:r>
      <w:r>
        <w:rPr>
          <w:szCs w:val="32"/>
        </w:rPr>
        <w:t>%。</w:t>
      </w:r>
    </w:p>
    <w:p w14:paraId="20CC0BF1">
      <w:pPr>
        <w:ind w:firstLine="640" w:firstLineChars="200"/>
        <w:rPr>
          <w:rFonts w:eastAsia="黑体"/>
          <w:szCs w:val="32"/>
        </w:rPr>
      </w:pPr>
      <w:r>
        <w:rPr>
          <w:rFonts w:eastAsia="黑体"/>
          <w:szCs w:val="32"/>
        </w:rPr>
        <w:t>四、</w:t>
      </w:r>
      <w:r>
        <w:rPr>
          <w:rFonts w:hint="eastAsia" w:eastAsia="黑体"/>
          <w:szCs w:val="32"/>
          <w:lang w:eastAsia="zh-CN"/>
        </w:rPr>
        <w:t>202</w:t>
      </w:r>
      <w:r>
        <w:rPr>
          <w:rFonts w:hint="eastAsia" w:eastAsia="黑体"/>
          <w:szCs w:val="32"/>
          <w:lang w:val="en-US" w:eastAsia="zh-CN"/>
        </w:rPr>
        <w:t>6</w:t>
      </w:r>
      <w:r>
        <w:rPr>
          <w:rFonts w:eastAsia="黑体"/>
          <w:szCs w:val="32"/>
        </w:rPr>
        <w:t>年财政拨款收支预算情况</w:t>
      </w:r>
    </w:p>
    <w:p w14:paraId="0EA6C6B6">
      <w:pPr>
        <w:ind w:firstLine="600"/>
        <w:rPr>
          <w:szCs w:val="32"/>
        </w:rPr>
      </w:pPr>
      <w:r>
        <w:rPr>
          <w:rFonts w:hint="eastAsia"/>
          <w:szCs w:val="32"/>
          <w:lang w:eastAsia="zh-CN"/>
        </w:rPr>
        <w:t>202</w:t>
      </w:r>
      <w:r>
        <w:rPr>
          <w:rFonts w:hint="eastAsia"/>
          <w:szCs w:val="32"/>
          <w:lang w:val="en-US" w:eastAsia="zh-CN"/>
        </w:rPr>
        <w:t>6</w:t>
      </w:r>
      <w:r>
        <w:rPr>
          <w:szCs w:val="32"/>
        </w:rPr>
        <w:t>年财政拨款收支总预算_</w:t>
      </w:r>
      <w:r>
        <w:rPr>
          <w:rFonts w:hint="eastAsia"/>
          <w:szCs w:val="32"/>
          <w:u w:val="single"/>
          <w:lang w:val="en-US" w:eastAsia="zh-CN"/>
        </w:rPr>
        <w:t>396.62</w:t>
      </w:r>
      <w:r>
        <w:rPr>
          <w:szCs w:val="32"/>
        </w:rPr>
        <w:t>万元，其中：</w:t>
      </w:r>
      <w:r>
        <w:rPr>
          <w:rFonts w:hint="eastAsia"/>
          <w:szCs w:val="32"/>
        </w:rPr>
        <w:t>本年收入</w:t>
      </w:r>
      <w:r>
        <w:rPr>
          <w:szCs w:val="32"/>
        </w:rPr>
        <w:t>_</w:t>
      </w:r>
      <w:r>
        <w:rPr>
          <w:rFonts w:hint="eastAsia"/>
          <w:szCs w:val="32"/>
          <w:u w:val="single"/>
          <w:lang w:val="en-US" w:eastAsia="zh-CN"/>
        </w:rPr>
        <w:t>396.62</w:t>
      </w:r>
      <w:r>
        <w:rPr>
          <w:szCs w:val="32"/>
        </w:rPr>
        <w:t>万元</w:t>
      </w:r>
      <w:r>
        <w:rPr>
          <w:rFonts w:hint="eastAsia"/>
          <w:szCs w:val="32"/>
        </w:rPr>
        <w:t>，上年结转</w:t>
      </w:r>
      <w:r>
        <w:rPr>
          <w:rFonts w:hint="eastAsia"/>
          <w:szCs w:val="32"/>
          <w:u w:val="single"/>
        </w:rPr>
        <w:t>0</w:t>
      </w:r>
      <w:r>
        <w:rPr>
          <w:szCs w:val="32"/>
        </w:rPr>
        <w:t>万元</w:t>
      </w:r>
      <w:r>
        <w:rPr>
          <w:rFonts w:hint="eastAsia"/>
          <w:szCs w:val="32"/>
        </w:rPr>
        <w:t>。</w:t>
      </w:r>
      <w:r>
        <w:rPr>
          <w:szCs w:val="32"/>
        </w:rPr>
        <w:t>支出包括：</w:t>
      </w:r>
      <w:r>
        <w:rPr>
          <w:kern w:val="0"/>
          <w:szCs w:val="32"/>
        </w:rPr>
        <w:t>一般公共服务支出</w:t>
      </w:r>
      <w:r>
        <w:rPr>
          <w:rFonts w:hint="eastAsia"/>
          <w:szCs w:val="32"/>
          <w:u w:val="single"/>
          <w:lang w:val="en-US" w:eastAsia="zh-CN"/>
        </w:rPr>
        <w:t>285.12</w:t>
      </w:r>
      <w:r>
        <w:rPr>
          <w:szCs w:val="32"/>
        </w:rPr>
        <w:t>万元，</w:t>
      </w:r>
      <w:r>
        <w:rPr>
          <w:kern w:val="0"/>
          <w:szCs w:val="32"/>
        </w:rPr>
        <w:t>国防支出</w:t>
      </w:r>
      <w:r>
        <w:rPr>
          <w:rFonts w:hint="eastAsia"/>
          <w:szCs w:val="32"/>
          <w:u w:val="single"/>
        </w:rPr>
        <w:t>0</w:t>
      </w:r>
      <w:r>
        <w:rPr>
          <w:szCs w:val="32"/>
        </w:rPr>
        <w:t>万元，</w:t>
      </w:r>
      <w:r>
        <w:rPr>
          <w:kern w:val="0"/>
          <w:szCs w:val="32"/>
        </w:rPr>
        <w:t>公共安全支出</w:t>
      </w:r>
      <w:r>
        <w:rPr>
          <w:rFonts w:hint="eastAsia"/>
          <w:szCs w:val="32"/>
          <w:u w:val="single"/>
        </w:rPr>
        <w:t>0</w:t>
      </w:r>
      <w:r>
        <w:rPr>
          <w:szCs w:val="32"/>
        </w:rPr>
        <w:t>万元，</w:t>
      </w:r>
      <w:r>
        <w:rPr>
          <w:kern w:val="0"/>
          <w:szCs w:val="32"/>
        </w:rPr>
        <w:t>教育支出</w:t>
      </w:r>
      <w:r>
        <w:rPr>
          <w:rFonts w:hint="eastAsia"/>
          <w:szCs w:val="32"/>
          <w:u w:val="single"/>
        </w:rPr>
        <w:t>0</w:t>
      </w:r>
      <w:r>
        <w:rPr>
          <w:szCs w:val="32"/>
        </w:rPr>
        <w:t>万元，</w:t>
      </w:r>
      <w:r>
        <w:rPr>
          <w:kern w:val="0"/>
          <w:szCs w:val="32"/>
        </w:rPr>
        <w:t>科学技术支出</w:t>
      </w:r>
      <w:r>
        <w:rPr>
          <w:rFonts w:hint="eastAsia"/>
          <w:szCs w:val="32"/>
          <w:u w:val="single"/>
        </w:rPr>
        <w:t>0</w:t>
      </w:r>
      <w:r>
        <w:rPr>
          <w:szCs w:val="32"/>
        </w:rPr>
        <w:t>万元，</w:t>
      </w:r>
      <w:r>
        <w:rPr>
          <w:kern w:val="0"/>
          <w:szCs w:val="32"/>
        </w:rPr>
        <w:t>文化</w:t>
      </w:r>
      <w:r>
        <w:rPr>
          <w:rFonts w:hint="eastAsia"/>
          <w:kern w:val="0"/>
          <w:szCs w:val="32"/>
        </w:rPr>
        <w:t>旅游</w:t>
      </w:r>
      <w:r>
        <w:rPr>
          <w:kern w:val="0"/>
          <w:szCs w:val="32"/>
        </w:rPr>
        <w:t>体育与传媒支出</w:t>
      </w:r>
      <w:r>
        <w:rPr>
          <w:rFonts w:hint="eastAsia"/>
          <w:szCs w:val="32"/>
          <w:u w:val="single"/>
        </w:rPr>
        <w:t>0</w:t>
      </w:r>
      <w:r>
        <w:rPr>
          <w:szCs w:val="32"/>
        </w:rPr>
        <w:t>万元，</w:t>
      </w:r>
      <w:r>
        <w:rPr>
          <w:kern w:val="0"/>
          <w:szCs w:val="32"/>
        </w:rPr>
        <w:t>社会保障和就业支出</w:t>
      </w:r>
      <w:r>
        <w:rPr>
          <w:rFonts w:hint="eastAsia"/>
          <w:kern w:val="0"/>
          <w:szCs w:val="32"/>
          <w:u w:val="single"/>
          <w:lang w:val="en-US" w:eastAsia="zh-CN"/>
        </w:rPr>
        <w:t>67.71</w:t>
      </w:r>
      <w:r>
        <w:rPr>
          <w:szCs w:val="32"/>
        </w:rPr>
        <w:t>万元，</w:t>
      </w:r>
      <w:r>
        <w:rPr>
          <w:kern w:val="0"/>
          <w:szCs w:val="32"/>
        </w:rPr>
        <w:t>社会保险基金支出</w:t>
      </w:r>
      <w:r>
        <w:rPr>
          <w:rFonts w:hint="eastAsia"/>
          <w:szCs w:val="32"/>
          <w:u w:val="single"/>
        </w:rPr>
        <w:t>0</w:t>
      </w:r>
      <w:r>
        <w:rPr>
          <w:szCs w:val="32"/>
        </w:rPr>
        <w:t>万元，</w:t>
      </w:r>
      <w:r>
        <w:rPr>
          <w:kern w:val="0"/>
          <w:szCs w:val="32"/>
        </w:rPr>
        <w:t>卫生</w:t>
      </w:r>
      <w:r>
        <w:rPr>
          <w:rFonts w:hint="eastAsia"/>
          <w:kern w:val="0"/>
          <w:szCs w:val="32"/>
        </w:rPr>
        <w:t>健康</w:t>
      </w:r>
      <w:r>
        <w:rPr>
          <w:kern w:val="0"/>
          <w:szCs w:val="32"/>
        </w:rPr>
        <w:t>支出</w:t>
      </w:r>
      <w:r>
        <w:rPr>
          <w:rFonts w:hint="eastAsia"/>
          <w:szCs w:val="32"/>
          <w:u w:val="single"/>
          <w:lang w:val="en-US" w:eastAsia="zh-CN"/>
        </w:rPr>
        <w:t>11.84</w:t>
      </w:r>
      <w:r>
        <w:rPr>
          <w:szCs w:val="32"/>
        </w:rPr>
        <w:t>万元，</w:t>
      </w:r>
      <w:r>
        <w:rPr>
          <w:kern w:val="0"/>
          <w:szCs w:val="32"/>
        </w:rPr>
        <w:t>节能环保支出</w:t>
      </w:r>
      <w:r>
        <w:rPr>
          <w:rFonts w:hint="eastAsia"/>
          <w:szCs w:val="32"/>
          <w:u w:val="single"/>
        </w:rPr>
        <w:t>0</w:t>
      </w:r>
      <w:r>
        <w:rPr>
          <w:szCs w:val="32"/>
        </w:rPr>
        <w:t>万元，</w:t>
      </w:r>
      <w:r>
        <w:rPr>
          <w:kern w:val="0"/>
          <w:szCs w:val="32"/>
        </w:rPr>
        <w:t>城乡社区支出</w:t>
      </w:r>
      <w:r>
        <w:rPr>
          <w:rFonts w:hint="eastAsia"/>
          <w:szCs w:val="32"/>
          <w:u w:val="single"/>
        </w:rPr>
        <w:t>0</w:t>
      </w:r>
      <w:r>
        <w:rPr>
          <w:szCs w:val="32"/>
        </w:rPr>
        <w:t>万元，</w:t>
      </w:r>
      <w:r>
        <w:rPr>
          <w:kern w:val="0"/>
          <w:szCs w:val="32"/>
        </w:rPr>
        <w:t>农林水支出</w:t>
      </w:r>
      <w:r>
        <w:rPr>
          <w:rFonts w:hint="eastAsia"/>
          <w:szCs w:val="32"/>
          <w:u w:val="single"/>
        </w:rPr>
        <w:t>0</w:t>
      </w:r>
      <w:r>
        <w:rPr>
          <w:szCs w:val="32"/>
        </w:rPr>
        <w:t>万元，</w:t>
      </w:r>
      <w:r>
        <w:rPr>
          <w:kern w:val="0"/>
          <w:szCs w:val="32"/>
        </w:rPr>
        <w:t>交通运输支出</w:t>
      </w:r>
      <w:r>
        <w:rPr>
          <w:rFonts w:hint="eastAsia"/>
          <w:szCs w:val="32"/>
          <w:u w:val="single"/>
        </w:rPr>
        <w:t>0</w:t>
      </w:r>
      <w:r>
        <w:rPr>
          <w:szCs w:val="32"/>
        </w:rPr>
        <w:t>万元，</w:t>
      </w:r>
      <w:r>
        <w:rPr>
          <w:kern w:val="0"/>
          <w:szCs w:val="32"/>
        </w:rPr>
        <w:t>资源勘探信息等支出</w:t>
      </w:r>
      <w:r>
        <w:rPr>
          <w:rFonts w:hint="eastAsia"/>
          <w:szCs w:val="32"/>
          <w:u w:val="single"/>
        </w:rPr>
        <w:t>0</w:t>
      </w:r>
      <w:r>
        <w:rPr>
          <w:szCs w:val="32"/>
        </w:rPr>
        <w:t>万元，</w:t>
      </w:r>
      <w:r>
        <w:rPr>
          <w:kern w:val="0"/>
          <w:szCs w:val="32"/>
        </w:rPr>
        <w:t>商业服务业等支出</w:t>
      </w:r>
      <w:r>
        <w:rPr>
          <w:rFonts w:hint="eastAsia"/>
          <w:szCs w:val="32"/>
          <w:u w:val="single"/>
        </w:rPr>
        <w:t>0</w:t>
      </w:r>
      <w:r>
        <w:rPr>
          <w:szCs w:val="32"/>
        </w:rPr>
        <w:t>万元，</w:t>
      </w:r>
      <w:r>
        <w:rPr>
          <w:kern w:val="0"/>
          <w:szCs w:val="32"/>
        </w:rPr>
        <w:t>金融支出</w:t>
      </w:r>
      <w:r>
        <w:rPr>
          <w:rFonts w:hint="eastAsia"/>
          <w:szCs w:val="32"/>
          <w:u w:val="single"/>
        </w:rPr>
        <w:t>0</w:t>
      </w:r>
      <w:r>
        <w:rPr>
          <w:szCs w:val="32"/>
        </w:rPr>
        <w:t>万元，</w:t>
      </w:r>
      <w:r>
        <w:rPr>
          <w:kern w:val="0"/>
          <w:szCs w:val="32"/>
        </w:rPr>
        <w:t>援助其他地区支出</w:t>
      </w:r>
      <w:r>
        <w:rPr>
          <w:rFonts w:hint="eastAsia"/>
          <w:szCs w:val="32"/>
          <w:u w:val="single"/>
        </w:rPr>
        <w:t>0</w:t>
      </w:r>
      <w:r>
        <w:rPr>
          <w:szCs w:val="32"/>
        </w:rPr>
        <w:t>万元，</w:t>
      </w:r>
      <w:r>
        <w:rPr>
          <w:rFonts w:hint="eastAsia"/>
          <w:kern w:val="0"/>
          <w:szCs w:val="32"/>
        </w:rPr>
        <w:t>自然资源</w:t>
      </w:r>
      <w:r>
        <w:rPr>
          <w:kern w:val="0"/>
          <w:szCs w:val="32"/>
        </w:rPr>
        <w:t>海洋气象等支出</w:t>
      </w:r>
      <w:r>
        <w:rPr>
          <w:rFonts w:hint="eastAsia"/>
          <w:szCs w:val="32"/>
          <w:u w:val="single"/>
        </w:rPr>
        <w:t>0</w:t>
      </w:r>
      <w:r>
        <w:rPr>
          <w:szCs w:val="32"/>
        </w:rPr>
        <w:t>万元，</w:t>
      </w:r>
      <w:r>
        <w:rPr>
          <w:kern w:val="0"/>
          <w:szCs w:val="32"/>
        </w:rPr>
        <w:t>住房保障支出</w:t>
      </w:r>
      <w:r>
        <w:rPr>
          <w:rFonts w:hint="eastAsia"/>
          <w:szCs w:val="32"/>
          <w:u w:val="single"/>
          <w:lang w:val="en-US" w:eastAsia="zh-CN"/>
        </w:rPr>
        <w:t>31.96</w:t>
      </w:r>
      <w:r>
        <w:rPr>
          <w:szCs w:val="32"/>
        </w:rPr>
        <w:t>万元，</w:t>
      </w:r>
      <w:r>
        <w:rPr>
          <w:kern w:val="0"/>
          <w:szCs w:val="32"/>
        </w:rPr>
        <w:t>粮油物资储备支出</w:t>
      </w:r>
      <w:r>
        <w:rPr>
          <w:rFonts w:hint="eastAsia"/>
          <w:szCs w:val="32"/>
          <w:u w:val="single"/>
        </w:rPr>
        <w:t>0</w:t>
      </w:r>
      <w:r>
        <w:rPr>
          <w:szCs w:val="32"/>
        </w:rPr>
        <w:t>万元</w:t>
      </w:r>
      <w:r>
        <w:rPr>
          <w:rFonts w:hint="eastAsia"/>
          <w:szCs w:val="32"/>
        </w:rPr>
        <w:t>，灾害防治及应急管理支出</w:t>
      </w:r>
      <w:r>
        <w:rPr>
          <w:rFonts w:hint="eastAsia"/>
          <w:szCs w:val="32"/>
          <w:u w:val="single"/>
        </w:rPr>
        <w:t>0</w:t>
      </w:r>
      <w:r>
        <w:rPr>
          <w:szCs w:val="32"/>
        </w:rPr>
        <w:t>万元，</w:t>
      </w:r>
      <w:r>
        <w:rPr>
          <w:kern w:val="0"/>
          <w:szCs w:val="32"/>
        </w:rPr>
        <w:t>其他支出</w:t>
      </w:r>
      <w:r>
        <w:rPr>
          <w:rFonts w:hint="eastAsia"/>
          <w:szCs w:val="32"/>
          <w:u w:val="single"/>
        </w:rPr>
        <w:t>0</w:t>
      </w:r>
      <w:r>
        <w:rPr>
          <w:szCs w:val="32"/>
        </w:rPr>
        <w:t>万元，</w:t>
      </w:r>
      <w:r>
        <w:rPr>
          <w:kern w:val="0"/>
          <w:szCs w:val="32"/>
        </w:rPr>
        <w:t>结转下年支出</w:t>
      </w:r>
      <w:r>
        <w:rPr>
          <w:rFonts w:hint="eastAsia"/>
          <w:szCs w:val="32"/>
          <w:u w:val="single"/>
        </w:rPr>
        <w:t>0</w:t>
      </w:r>
      <w:r>
        <w:rPr>
          <w:szCs w:val="32"/>
        </w:rPr>
        <w:t>万元。</w:t>
      </w:r>
    </w:p>
    <w:p w14:paraId="1C7DF728">
      <w:pPr>
        <w:ind w:firstLine="600"/>
        <w:rPr>
          <w:rFonts w:eastAsia="黑体"/>
          <w:szCs w:val="30"/>
        </w:rPr>
      </w:pPr>
      <w:r>
        <w:rPr>
          <w:rFonts w:eastAsia="黑体"/>
          <w:szCs w:val="30"/>
        </w:rPr>
        <w:t>五、</w:t>
      </w:r>
      <w:r>
        <w:rPr>
          <w:rFonts w:hint="eastAsia" w:eastAsia="黑体"/>
          <w:szCs w:val="30"/>
          <w:lang w:eastAsia="zh-CN"/>
        </w:rPr>
        <w:t>202</w:t>
      </w:r>
      <w:r>
        <w:rPr>
          <w:rFonts w:hint="eastAsia" w:eastAsia="黑体"/>
          <w:szCs w:val="30"/>
          <w:lang w:val="en-US" w:eastAsia="zh-CN"/>
        </w:rPr>
        <w:t>6</w:t>
      </w:r>
      <w:r>
        <w:rPr>
          <w:rFonts w:eastAsia="黑体"/>
          <w:szCs w:val="30"/>
        </w:rPr>
        <w:t>年一般公共预算</w:t>
      </w:r>
      <w:r>
        <w:rPr>
          <w:rFonts w:hint="eastAsia" w:eastAsia="黑体"/>
          <w:szCs w:val="30"/>
        </w:rPr>
        <w:t>支出</w:t>
      </w:r>
      <w:r>
        <w:rPr>
          <w:rFonts w:eastAsia="黑体"/>
          <w:szCs w:val="30"/>
        </w:rPr>
        <w:t>情况</w:t>
      </w:r>
    </w:p>
    <w:p w14:paraId="15C5C88A">
      <w:pPr>
        <w:spacing w:line="520" w:lineRule="exact"/>
        <w:ind w:firstLine="640" w:firstLineChars="200"/>
        <w:rPr>
          <w:szCs w:val="32"/>
        </w:rPr>
      </w:pPr>
      <w:r>
        <w:rPr>
          <w:rFonts w:hint="eastAsia"/>
          <w:szCs w:val="32"/>
          <w:lang w:eastAsia="zh-CN"/>
        </w:rPr>
        <w:t>202</w:t>
      </w:r>
      <w:r>
        <w:rPr>
          <w:rFonts w:hint="eastAsia"/>
          <w:szCs w:val="32"/>
          <w:lang w:val="en-US" w:eastAsia="zh-CN"/>
        </w:rPr>
        <w:t>6</w:t>
      </w:r>
      <w:r>
        <w:rPr>
          <w:szCs w:val="32"/>
        </w:rPr>
        <w:t>年一般公共预算拨款_</w:t>
      </w:r>
      <w:r>
        <w:rPr>
          <w:rFonts w:hint="eastAsia"/>
          <w:szCs w:val="32"/>
          <w:u w:val="single"/>
          <w:lang w:val="en-US" w:eastAsia="zh-CN"/>
        </w:rPr>
        <w:t>396.62</w:t>
      </w:r>
      <w:r>
        <w:rPr>
          <w:szCs w:val="32"/>
        </w:rPr>
        <w:t>万元，其中：基本支出</w:t>
      </w:r>
      <w:r>
        <w:rPr>
          <w:rFonts w:hint="eastAsia"/>
          <w:szCs w:val="32"/>
          <w:u w:val="single"/>
          <w:lang w:val="en-US" w:eastAsia="zh-CN"/>
        </w:rPr>
        <w:t>386.17</w:t>
      </w:r>
      <w:r>
        <w:rPr>
          <w:szCs w:val="32"/>
        </w:rPr>
        <w:t>万元，占</w:t>
      </w:r>
      <w:r>
        <w:rPr>
          <w:rFonts w:hint="eastAsia"/>
          <w:szCs w:val="32"/>
          <w:u w:val="single"/>
          <w:lang w:val="en-US" w:eastAsia="zh-CN"/>
        </w:rPr>
        <w:t>97</w:t>
      </w:r>
      <w:r>
        <w:rPr>
          <w:szCs w:val="32"/>
        </w:rPr>
        <w:t>%；项目支出</w:t>
      </w:r>
      <w:r>
        <w:rPr>
          <w:rFonts w:hint="eastAsia"/>
          <w:szCs w:val="32"/>
          <w:lang w:val="en-US" w:eastAsia="zh-CN"/>
        </w:rPr>
        <w:t>10.45</w:t>
      </w:r>
      <w:r>
        <w:rPr>
          <w:szCs w:val="32"/>
        </w:rPr>
        <w:t>万元，占</w:t>
      </w:r>
      <w:r>
        <w:rPr>
          <w:rFonts w:hint="eastAsia"/>
          <w:szCs w:val="32"/>
          <w:u w:val="single"/>
          <w:lang w:val="en-US" w:eastAsia="zh-CN"/>
        </w:rPr>
        <w:t>3</w:t>
      </w:r>
      <w:r>
        <w:rPr>
          <w:szCs w:val="32"/>
        </w:rPr>
        <w:t>%。基本支出中，人员经费</w:t>
      </w:r>
      <w:r>
        <w:rPr>
          <w:rFonts w:hint="eastAsia"/>
          <w:szCs w:val="32"/>
          <w:u w:val="single"/>
          <w:lang w:val="en-US" w:eastAsia="zh-CN"/>
        </w:rPr>
        <w:t>367.03</w:t>
      </w:r>
      <w:r>
        <w:rPr>
          <w:szCs w:val="32"/>
        </w:rPr>
        <w:t>万元，占</w:t>
      </w:r>
      <w:r>
        <w:rPr>
          <w:rFonts w:hint="eastAsia"/>
          <w:szCs w:val="32"/>
          <w:u w:val="single"/>
          <w:lang w:val="en-US" w:eastAsia="zh-CN"/>
        </w:rPr>
        <w:t>95</w:t>
      </w:r>
      <w:r>
        <w:rPr>
          <w:szCs w:val="32"/>
        </w:rPr>
        <w:t>%；公用经费</w:t>
      </w:r>
      <w:r>
        <w:rPr>
          <w:rFonts w:hint="eastAsia"/>
          <w:szCs w:val="32"/>
          <w:u w:val="single"/>
          <w:lang w:val="en-US" w:eastAsia="zh-CN"/>
        </w:rPr>
        <w:t>19.14</w:t>
      </w:r>
      <w:r>
        <w:rPr>
          <w:szCs w:val="32"/>
        </w:rPr>
        <w:t>万元，占</w:t>
      </w:r>
      <w:r>
        <w:rPr>
          <w:rFonts w:hint="eastAsia"/>
          <w:szCs w:val="32"/>
          <w:u w:val="single"/>
          <w:lang w:val="en-US" w:eastAsia="zh-CN"/>
        </w:rPr>
        <w:t>5</w:t>
      </w:r>
      <w:r>
        <w:rPr>
          <w:szCs w:val="32"/>
        </w:rPr>
        <w:t>%。</w:t>
      </w:r>
    </w:p>
    <w:p w14:paraId="5166913C">
      <w:pPr>
        <w:numPr>
          <w:ilvl w:val="0"/>
          <w:numId w:val="1"/>
        </w:numPr>
        <w:spacing w:line="560" w:lineRule="exact"/>
        <w:ind w:firstLine="800" w:firstLineChars="250"/>
        <w:rPr>
          <w:rFonts w:hint="eastAsia" w:ascii="宋体" w:hAnsi="宋体"/>
          <w:szCs w:val="32"/>
        </w:rPr>
      </w:pPr>
      <w:r>
        <w:rPr>
          <w:szCs w:val="32"/>
        </w:rPr>
        <w:t>一般公共服务（类）支出</w:t>
      </w:r>
      <w:r>
        <w:rPr>
          <w:rFonts w:hint="eastAsia"/>
          <w:szCs w:val="32"/>
          <w:u w:val="single"/>
          <w:lang w:val="en-US" w:eastAsia="zh-CN"/>
        </w:rPr>
        <w:t>285.12</w:t>
      </w:r>
      <w:r>
        <w:rPr>
          <w:szCs w:val="32"/>
        </w:rPr>
        <w:t>万元，占</w:t>
      </w:r>
      <w:r>
        <w:rPr>
          <w:rFonts w:hint="eastAsia"/>
          <w:szCs w:val="32"/>
          <w:u w:val="single"/>
          <w:lang w:val="en-US" w:eastAsia="zh-CN"/>
        </w:rPr>
        <w:t>72</w:t>
      </w:r>
      <w:r>
        <w:rPr>
          <w:szCs w:val="32"/>
        </w:rPr>
        <w:t>%，主要用于</w:t>
      </w:r>
      <w:r>
        <w:rPr>
          <w:rFonts w:hint="eastAsia" w:ascii="宋体" w:hAnsi="宋体"/>
          <w:szCs w:val="32"/>
          <w:u w:val="single"/>
        </w:rPr>
        <w:t>本部门正常运转、完成日常工作任务而发生的人员经费和日常公用经费以及</w:t>
      </w:r>
      <w:r>
        <w:rPr>
          <w:rFonts w:hint="eastAsia" w:ascii="宋体" w:hAnsi="宋体"/>
          <w:szCs w:val="32"/>
          <w:u w:val="single"/>
          <w:lang w:eastAsia="zh-CN"/>
        </w:rPr>
        <w:t>财务工作经</w:t>
      </w:r>
      <w:r>
        <w:rPr>
          <w:rFonts w:hint="eastAsia" w:ascii="宋体" w:hAnsi="宋体"/>
          <w:szCs w:val="32"/>
          <w:u w:val="single"/>
        </w:rPr>
        <w:t>费。</w:t>
      </w:r>
    </w:p>
    <w:p w14:paraId="0CC78A92">
      <w:pPr>
        <w:numPr>
          <w:ilvl w:val="0"/>
          <w:numId w:val="1"/>
        </w:numPr>
        <w:spacing w:line="560" w:lineRule="exact"/>
        <w:ind w:firstLine="800" w:firstLineChars="250"/>
        <w:rPr>
          <w:szCs w:val="32"/>
        </w:rPr>
      </w:pPr>
      <w:r>
        <w:rPr>
          <w:szCs w:val="32"/>
        </w:rPr>
        <w:t>国防（类）支出</w:t>
      </w:r>
      <w:r>
        <w:rPr>
          <w:rFonts w:hint="eastAsia"/>
          <w:szCs w:val="32"/>
        </w:rPr>
        <w:t>0</w:t>
      </w:r>
      <w:r>
        <w:rPr>
          <w:szCs w:val="32"/>
        </w:rPr>
        <w:t>万元，占</w:t>
      </w:r>
      <w:r>
        <w:rPr>
          <w:rFonts w:hint="eastAsia"/>
          <w:szCs w:val="32"/>
        </w:rPr>
        <w:t>0</w:t>
      </w:r>
      <w:r>
        <w:rPr>
          <w:szCs w:val="32"/>
        </w:rPr>
        <w:t>%。</w:t>
      </w:r>
    </w:p>
    <w:p w14:paraId="51D587C9">
      <w:pPr>
        <w:numPr>
          <w:ilvl w:val="0"/>
          <w:numId w:val="1"/>
        </w:numPr>
        <w:spacing w:line="560" w:lineRule="exact"/>
        <w:ind w:firstLine="800" w:firstLineChars="250"/>
        <w:rPr>
          <w:szCs w:val="32"/>
        </w:rPr>
      </w:pPr>
      <w:r>
        <w:rPr>
          <w:szCs w:val="32"/>
        </w:rPr>
        <w:t>教育（类）支出</w:t>
      </w:r>
      <w:r>
        <w:rPr>
          <w:rFonts w:hint="eastAsia"/>
          <w:szCs w:val="32"/>
        </w:rPr>
        <w:t>0</w:t>
      </w:r>
      <w:r>
        <w:rPr>
          <w:szCs w:val="32"/>
        </w:rPr>
        <w:t>万元，占</w:t>
      </w:r>
      <w:r>
        <w:rPr>
          <w:rFonts w:hint="eastAsia"/>
          <w:szCs w:val="32"/>
        </w:rPr>
        <w:t>0</w:t>
      </w:r>
      <w:r>
        <w:rPr>
          <w:szCs w:val="32"/>
        </w:rPr>
        <w:t>%。</w:t>
      </w:r>
    </w:p>
    <w:p w14:paraId="1A97E28F">
      <w:pPr>
        <w:numPr>
          <w:ilvl w:val="0"/>
          <w:numId w:val="1"/>
        </w:numPr>
        <w:spacing w:line="560" w:lineRule="exact"/>
        <w:ind w:firstLine="800" w:firstLineChars="250"/>
        <w:rPr>
          <w:szCs w:val="32"/>
        </w:rPr>
      </w:pPr>
      <w:r>
        <w:rPr>
          <w:szCs w:val="32"/>
        </w:rPr>
        <w:t>科学技术（类）支出</w:t>
      </w:r>
      <w:r>
        <w:rPr>
          <w:rFonts w:hint="eastAsia"/>
          <w:szCs w:val="32"/>
        </w:rPr>
        <w:t>0</w:t>
      </w:r>
      <w:r>
        <w:rPr>
          <w:szCs w:val="32"/>
        </w:rPr>
        <w:t>万元，占</w:t>
      </w:r>
      <w:r>
        <w:rPr>
          <w:rFonts w:hint="eastAsia"/>
          <w:szCs w:val="32"/>
        </w:rPr>
        <w:t>0</w:t>
      </w:r>
      <w:r>
        <w:rPr>
          <w:szCs w:val="32"/>
        </w:rPr>
        <w:t>_%。</w:t>
      </w:r>
      <w:bookmarkStart w:id="0" w:name="_GoBack"/>
      <w:bookmarkEnd w:id="0"/>
    </w:p>
    <w:p w14:paraId="251F8BC8">
      <w:pPr>
        <w:numPr>
          <w:ilvl w:val="0"/>
          <w:numId w:val="1"/>
        </w:numPr>
        <w:spacing w:line="560" w:lineRule="exact"/>
        <w:ind w:firstLine="800" w:firstLineChars="250"/>
        <w:rPr>
          <w:szCs w:val="32"/>
        </w:rPr>
      </w:pPr>
      <w:r>
        <w:rPr>
          <w:szCs w:val="32"/>
        </w:rPr>
        <w:t>文化</w:t>
      </w:r>
      <w:r>
        <w:rPr>
          <w:rFonts w:hint="eastAsia"/>
          <w:szCs w:val="32"/>
        </w:rPr>
        <w:t>旅游</w:t>
      </w:r>
      <w:r>
        <w:rPr>
          <w:szCs w:val="32"/>
        </w:rPr>
        <w:t>体育与传媒（类）支出</w:t>
      </w:r>
      <w:r>
        <w:rPr>
          <w:rFonts w:hint="eastAsia"/>
          <w:szCs w:val="32"/>
        </w:rPr>
        <w:t>0</w:t>
      </w:r>
      <w:r>
        <w:rPr>
          <w:szCs w:val="32"/>
        </w:rPr>
        <w:t>万元，占</w:t>
      </w:r>
      <w:r>
        <w:rPr>
          <w:rFonts w:hint="eastAsia"/>
          <w:szCs w:val="32"/>
        </w:rPr>
        <w:t>0</w:t>
      </w:r>
      <w:r>
        <w:rPr>
          <w:szCs w:val="32"/>
        </w:rPr>
        <w:t>_%。</w:t>
      </w:r>
    </w:p>
    <w:p w14:paraId="315F64BD">
      <w:pPr>
        <w:numPr>
          <w:ilvl w:val="0"/>
          <w:numId w:val="1"/>
        </w:numPr>
        <w:spacing w:line="560" w:lineRule="exact"/>
        <w:ind w:firstLine="800" w:firstLineChars="250"/>
        <w:rPr>
          <w:rFonts w:hint="eastAsia"/>
          <w:szCs w:val="32"/>
          <w:u w:val="single"/>
        </w:rPr>
      </w:pPr>
      <w:r>
        <w:rPr>
          <w:szCs w:val="32"/>
        </w:rPr>
        <w:t>社会保障和就业（类）支出</w:t>
      </w:r>
      <w:r>
        <w:rPr>
          <w:rFonts w:hint="eastAsia"/>
          <w:kern w:val="0"/>
          <w:szCs w:val="32"/>
          <w:u w:val="single"/>
          <w:lang w:val="en-US" w:eastAsia="zh-CN"/>
        </w:rPr>
        <w:t>67.71</w:t>
      </w:r>
      <w:r>
        <w:rPr>
          <w:szCs w:val="32"/>
        </w:rPr>
        <w:t>万元，占</w:t>
      </w:r>
      <w:r>
        <w:rPr>
          <w:rFonts w:hint="eastAsia"/>
          <w:szCs w:val="32"/>
          <w:u w:val="single"/>
          <w:lang w:val="en-US" w:eastAsia="zh-CN"/>
        </w:rPr>
        <w:t>17</w:t>
      </w:r>
      <w:r>
        <w:rPr>
          <w:szCs w:val="32"/>
          <w:u w:val="single"/>
        </w:rPr>
        <w:t>%，</w:t>
      </w:r>
      <w:r>
        <w:rPr>
          <w:szCs w:val="32"/>
        </w:rPr>
        <w:t>主要用于</w:t>
      </w:r>
      <w:r>
        <w:rPr>
          <w:rFonts w:hint="eastAsia"/>
          <w:szCs w:val="32"/>
          <w:u w:val="single"/>
        </w:rPr>
        <w:t>离退休费、单位养老保险、职业年金缴纳。</w:t>
      </w:r>
    </w:p>
    <w:p w14:paraId="69D714AB">
      <w:pPr>
        <w:numPr>
          <w:ilvl w:val="0"/>
          <w:numId w:val="1"/>
        </w:numPr>
        <w:spacing w:line="560" w:lineRule="exact"/>
        <w:ind w:firstLine="800" w:firstLineChars="250"/>
        <w:rPr>
          <w:rFonts w:hint="eastAsia"/>
          <w:szCs w:val="32"/>
          <w:u w:val="single"/>
        </w:rPr>
      </w:pPr>
      <w:r>
        <w:rPr>
          <w:szCs w:val="32"/>
        </w:rPr>
        <w:t>卫生</w:t>
      </w:r>
      <w:r>
        <w:rPr>
          <w:rFonts w:hint="eastAsia"/>
          <w:szCs w:val="32"/>
        </w:rPr>
        <w:t>健康</w:t>
      </w:r>
      <w:r>
        <w:rPr>
          <w:szCs w:val="32"/>
        </w:rPr>
        <w:t>支出</w:t>
      </w:r>
      <w:r>
        <w:rPr>
          <w:rFonts w:hint="eastAsia"/>
          <w:szCs w:val="32"/>
          <w:u w:val="single"/>
          <w:lang w:val="en-US" w:eastAsia="zh-CN"/>
        </w:rPr>
        <w:t>11.84</w:t>
      </w:r>
      <w:r>
        <w:rPr>
          <w:szCs w:val="32"/>
        </w:rPr>
        <w:t>万元，占</w:t>
      </w:r>
      <w:r>
        <w:rPr>
          <w:rFonts w:hint="eastAsia"/>
          <w:szCs w:val="32"/>
          <w:u w:val="single"/>
          <w:lang w:val="en-US" w:eastAsia="zh-CN"/>
        </w:rPr>
        <w:t>3%</w:t>
      </w:r>
      <w:r>
        <w:rPr>
          <w:szCs w:val="32"/>
        </w:rPr>
        <w:t>，主要用于</w:t>
      </w:r>
      <w:r>
        <w:rPr>
          <w:rFonts w:hint="eastAsia"/>
          <w:szCs w:val="32"/>
          <w:u w:val="single"/>
        </w:rPr>
        <w:t>缴纳在职职工基本医疗保险和公务员补助。</w:t>
      </w:r>
    </w:p>
    <w:p w14:paraId="2BA0A0E1">
      <w:pPr>
        <w:numPr>
          <w:ilvl w:val="0"/>
          <w:numId w:val="1"/>
        </w:numPr>
        <w:spacing w:line="560" w:lineRule="exact"/>
        <w:ind w:firstLine="800" w:firstLineChars="250"/>
        <w:rPr>
          <w:szCs w:val="32"/>
        </w:rPr>
      </w:pPr>
      <w:r>
        <w:rPr>
          <w:szCs w:val="32"/>
        </w:rPr>
        <w:t>农林水支出（类）支出</w:t>
      </w:r>
      <w:r>
        <w:rPr>
          <w:rFonts w:hint="eastAsia"/>
          <w:szCs w:val="32"/>
        </w:rPr>
        <w:t>0</w:t>
      </w:r>
      <w:r>
        <w:rPr>
          <w:szCs w:val="32"/>
        </w:rPr>
        <w:t>_万元，占</w:t>
      </w:r>
      <w:r>
        <w:rPr>
          <w:rFonts w:hint="eastAsia"/>
          <w:szCs w:val="32"/>
        </w:rPr>
        <w:t>0</w:t>
      </w:r>
      <w:r>
        <w:rPr>
          <w:szCs w:val="32"/>
        </w:rPr>
        <w:t>%。</w:t>
      </w:r>
    </w:p>
    <w:p w14:paraId="05E72312">
      <w:pPr>
        <w:numPr>
          <w:ilvl w:val="0"/>
          <w:numId w:val="1"/>
        </w:numPr>
        <w:spacing w:line="560" w:lineRule="exact"/>
        <w:ind w:firstLine="800" w:firstLineChars="250"/>
        <w:rPr>
          <w:rFonts w:hint="eastAsia"/>
          <w:szCs w:val="32"/>
        </w:rPr>
      </w:pPr>
      <w:r>
        <w:rPr>
          <w:szCs w:val="32"/>
        </w:rPr>
        <w:t>住房保障（类）支出</w:t>
      </w:r>
      <w:r>
        <w:rPr>
          <w:rFonts w:hint="eastAsia"/>
          <w:szCs w:val="32"/>
          <w:u w:val="single"/>
          <w:lang w:val="en-US" w:eastAsia="zh-CN"/>
        </w:rPr>
        <w:t>31.96</w:t>
      </w:r>
      <w:r>
        <w:rPr>
          <w:szCs w:val="32"/>
        </w:rPr>
        <w:t>万元，占</w:t>
      </w:r>
      <w:r>
        <w:rPr>
          <w:rFonts w:hint="eastAsia"/>
          <w:szCs w:val="32"/>
          <w:u w:val="single"/>
          <w:lang w:val="en-US" w:eastAsia="zh-CN"/>
        </w:rPr>
        <w:t>8%</w:t>
      </w:r>
      <w:r>
        <w:rPr>
          <w:szCs w:val="32"/>
        </w:rPr>
        <w:t>，主要用于_</w:t>
      </w:r>
      <w:r>
        <w:rPr>
          <w:rFonts w:hint="eastAsia"/>
          <w:szCs w:val="32"/>
          <w:u w:val="single"/>
        </w:rPr>
        <w:t>缴纳职工住房公积金</w:t>
      </w:r>
      <w:r>
        <w:rPr>
          <w:szCs w:val="32"/>
          <w:u w:val="single"/>
        </w:rPr>
        <w:t>。</w:t>
      </w:r>
    </w:p>
    <w:p w14:paraId="0811503E">
      <w:pPr>
        <w:spacing w:line="520" w:lineRule="exact"/>
        <w:ind w:firstLine="640" w:firstLineChars="200"/>
        <w:rPr>
          <w:rFonts w:eastAsia="黑体"/>
          <w:szCs w:val="32"/>
        </w:rPr>
      </w:pPr>
      <w:r>
        <w:rPr>
          <w:rFonts w:eastAsia="黑体"/>
          <w:szCs w:val="32"/>
        </w:rPr>
        <w:t>六、</w:t>
      </w:r>
      <w:r>
        <w:rPr>
          <w:rFonts w:hint="eastAsia" w:eastAsia="黑体"/>
          <w:szCs w:val="32"/>
          <w:lang w:eastAsia="zh-CN"/>
        </w:rPr>
        <w:t>202</w:t>
      </w:r>
      <w:r>
        <w:rPr>
          <w:rFonts w:hint="eastAsia" w:eastAsia="黑体"/>
          <w:szCs w:val="32"/>
          <w:lang w:val="en-US" w:eastAsia="zh-CN"/>
        </w:rPr>
        <w:t>6</w:t>
      </w:r>
      <w:r>
        <w:rPr>
          <w:rFonts w:eastAsia="黑体"/>
          <w:szCs w:val="32"/>
        </w:rPr>
        <w:t>年一般公共预算基本支出情况</w:t>
      </w:r>
    </w:p>
    <w:p w14:paraId="7C9B05C3">
      <w:pPr>
        <w:ind w:firstLine="640"/>
        <w:rPr>
          <w:szCs w:val="32"/>
        </w:rPr>
      </w:pPr>
      <w:r>
        <w:rPr>
          <w:rFonts w:hint="eastAsia"/>
          <w:szCs w:val="32"/>
          <w:lang w:eastAsia="zh-CN"/>
        </w:rPr>
        <w:t>202</w:t>
      </w:r>
      <w:r>
        <w:rPr>
          <w:rFonts w:hint="eastAsia"/>
          <w:szCs w:val="32"/>
          <w:lang w:val="en-US" w:eastAsia="zh-CN"/>
        </w:rPr>
        <w:t>6</w:t>
      </w:r>
      <w:r>
        <w:rPr>
          <w:szCs w:val="32"/>
        </w:rPr>
        <w:t>年一般公共预算基本支出_</w:t>
      </w:r>
      <w:r>
        <w:rPr>
          <w:rFonts w:hint="eastAsia"/>
          <w:szCs w:val="32"/>
          <w:u w:val="single"/>
          <w:lang w:val="en-US" w:eastAsia="zh-CN"/>
        </w:rPr>
        <w:t>386.17</w:t>
      </w:r>
      <w:r>
        <w:rPr>
          <w:szCs w:val="32"/>
        </w:rPr>
        <w:t>万元，其中：</w:t>
      </w:r>
    </w:p>
    <w:p w14:paraId="79432720">
      <w:pPr>
        <w:ind w:firstLine="640" w:firstLineChars="200"/>
        <w:rPr>
          <w:rFonts w:hint="eastAsia" w:ascii="仿宋" w:hAnsi="仿宋" w:eastAsia="仿宋"/>
          <w:szCs w:val="30"/>
        </w:rPr>
      </w:pPr>
      <w:r>
        <w:rPr>
          <w:szCs w:val="32"/>
        </w:rPr>
        <w:t>人员经费</w:t>
      </w:r>
      <w:r>
        <w:rPr>
          <w:rFonts w:hint="eastAsia"/>
          <w:szCs w:val="32"/>
          <w:u w:val="single"/>
          <w:lang w:val="en-US" w:eastAsia="zh-CN"/>
        </w:rPr>
        <w:t>367.03</w:t>
      </w:r>
      <w:r>
        <w:rPr>
          <w:szCs w:val="32"/>
        </w:rPr>
        <w:t>万元，主要包括：</w:t>
      </w:r>
      <w:r>
        <w:rPr>
          <w:kern w:val="0"/>
          <w:szCs w:val="32"/>
        </w:rPr>
        <w:t>基本工资、津贴补贴</w:t>
      </w:r>
      <w:r>
        <w:rPr>
          <w:szCs w:val="32"/>
        </w:rPr>
        <w:t>、</w:t>
      </w:r>
      <w:r>
        <w:rPr>
          <w:rFonts w:hint="eastAsia" w:ascii="仿宋" w:hAnsi="仿宋" w:eastAsia="仿宋"/>
          <w:szCs w:val="30"/>
        </w:rPr>
        <w:t>绩效工资、机关事业单位基本养老保险缴费、</w:t>
      </w:r>
      <w:r>
        <w:rPr>
          <w:rFonts w:hint="eastAsia" w:ascii="仿宋" w:hAnsi="仿宋" w:eastAsia="仿宋"/>
          <w:szCs w:val="30"/>
          <w:lang w:val="en-US" w:eastAsia="zh-CN"/>
        </w:rPr>
        <w:t>职业年金缴费、</w:t>
      </w:r>
      <w:r>
        <w:rPr>
          <w:rFonts w:hint="eastAsia" w:ascii="仿宋" w:hAnsi="仿宋" w:eastAsia="仿宋"/>
          <w:szCs w:val="30"/>
        </w:rPr>
        <w:t>职工基本医疗保险缴费、公务员医疗补助缴费、其他社会保障缴费、住房公积金、其他工资福利支出、退休费、其他对个人和家庭的补助支出。</w:t>
      </w:r>
    </w:p>
    <w:p w14:paraId="08F1115F">
      <w:pPr>
        <w:ind w:firstLine="640" w:firstLineChars="200"/>
        <w:rPr>
          <w:szCs w:val="32"/>
        </w:rPr>
      </w:pPr>
      <w:r>
        <w:rPr>
          <w:kern w:val="0"/>
          <w:szCs w:val="32"/>
        </w:rPr>
        <w:t>公用经费</w:t>
      </w:r>
      <w:r>
        <w:rPr>
          <w:rFonts w:hint="eastAsia"/>
          <w:szCs w:val="32"/>
          <w:u w:val="single"/>
          <w:lang w:val="en-US" w:eastAsia="zh-CN"/>
        </w:rPr>
        <w:t>19.14</w:t>
      </w:r>
      <w:r>
        <w:rPr>
          <w:szCs w:val="32"/>
        </w:rPr>
        <w:t>万元，主要包括：</w:t>
      </w:r>
      <w:r>
        <w:rPr>
          <w:kern w:val="0"/>
          <w:szCs w:val="32"/>
        </w:rPr>
        <w:t>办公费</w:t>
      </w:r>
      <w:r>
        <w:rPr>
          <w:szCs w:val="32"/>
        </w:rPr>
        <w:t>、</w:t>
      </w:r>
      <w:r>
        <w:rPr>
          <w:rFonts w:hint="eastAsia"/>
          <w:kern w:val="0"/>
          <w:szCs w:val="32"/>
          <w:lang w:val="en-US" w:eastAsia="zh-CN"/>
        </w:rPr>
        <w:t>印刷</w:t>
      </w:r>
      <w:r>
        <w:rPr>
          <w:kern w:val="0"/>
          <w:szCs w:val="32"/>
        </w:rPr>
        <w:t>费</w:t>
      </w:r>
      <w:r>
        <w:rPr>
          <w:szCs w:val="32"/>
        </w:rPr>
        <w:t>、</w:t>
      </w:r>
      <w:r>
        <w:rPr>
          <w:rFonts w:hint="eastAsia"/>
          <w:szCs w:val="32"/>
          <w:lang w:eastAsia="zh-CN"/>
        </w:rPr>
        <w:t>邮电费、</w:t>
      </w:r>
      <w:r>
        <w:rPr>
          <w:rFonts w:hint="eastAsia"/>
          <w:kern w:val="0"/>
          <w:szCs w:val="32"/>
          <w:lang w:val="en-US" w:eastAsia="zh-CN"/>
        </w:rPr>
        <w:t>维修（护）</w:t>
      </w:r>
      <w:r>
        <w:rPr>
          <w:kern w:val="0"/>
          <w:szCs w:val="32"/>
        </w:rPr>
        <w:t>费</w:t>
      </w:r>
      <w:r>
        <w:rPr>
          <w:szCs w:val="32"/>
        </w:rPr>
        <w:t>、</w:t>
      </w:r>
      <w:r>
        <w:rPr>
          <w:kern w:val="0"/>
          <w:szCs w:val="32"/>
        </w:rPr>
        <w:t>其他交通</w:t>
      </w:r>
      <w:r>
        <w:rPr>
          <w:rFonts w:hint="eastAsia"/>
          <w:kern w:val="0"/>
          <w:szCs w:val="32"/>
          <w:lang w:val="en-US" w:eastAsia="zh-CN"/>
        </w:rPr>
        <w:t>费用</w:t>
      </w:r>
      <w:r>
        <w:rPr>
          <w:kern w:val="0"/>
          <w:szCs w:val="32"/>
        </w:rPr>
        <w:t>。</w:t>
      </w:r>
    </w:p>
    <w:p w14:paraId="19D17452">
      <w:pPr>
        <w:ind w:firstLine="640" w:firstLineChars="200"/>
        <w:rPr>
          <w:rFonts w:eastAsia="黑体"/>
          <w:szCs w:val="30"/>
        </w:rPr>
      </w:pPr>
      <w:r>
        <w:rPr>
          <w:rFonts w:eastAsia="黑体"/>
          <w:szCs w:val="30"/>
        </w:rPr>
        <w:t>七、</w:t>
      </w:r>
      <w:r>
        <w:rPr>
          <w:rFonts w:hint="eastAsia" w:eastAsia="黑体"/>
          <w:szCs w:val="30"/>
          <w:lang w:eastAsia="zh-CN"/>
        </w:rPr>
        <w:t>202</w:t>
      </w:r>
      <w:r>
        <w:rPr>
          <w:rFonts w:hint="eastAsia" w:eastAsia="黑体"/>
          <w:szCs w:val="30"/>
          <w:lang w:val="en-US" w:eastAsia="zh-CN"/>
        </w:rPr>
        <w:t>6</w:t>
      </w:r>
      <w:r>
        <w:rPr>
          <w:rFonts w:eastAsia="黑体"/>
          <w:szCs w:val="30"/>
        </w:rPr>
        <w:t>年一般公共预算</w:t>
      </w:r>
      <w:r>
        <w:rPr>
          <w:rFonts w:hint="eastAsia" w:eastAsia="黑体"/>
          <w:szCs w:val="30"/>
        </w:rPr>
        <w:t>财政拨款</w:t>
      </w:r>
      <w:r>
        <w:rPr>
          <w:rFonts w:eastAsia="黑体"/>
          <w:szCs w:val="30"/>
        </w:rPr>
        <w:t>“三公”经费情况</w:t>
      </w:r>
    </w:p>
    <w:p w14:paraId="7364FE70">
      <w:pPr>
        <w:ind w:firstLine="640" w:firstLineChars="200"/>
        <w:rPr>
          <w:rFonts w:hint="eastAsia"/>
          <w:szCs w:val="32"/>
        </w:rPr>
      </w:pPr>
      <w:r>
        <w:rPr>
          <w:szCs w:val="32"/>
        </w:rPr>
        <w:t>本部门无一般公共预算</w:t>
      </w:r>
      <w:r>
        <w:rPr>
          <w:rFonts w:hint="eastAsia"/>
          <w:szCs w:val="32"/>
        </w:rPr>
        <w:t>财政拨款</w:t>
      </w:r>
      <w:r>
        <w:rPr>
          <w:szCs w:val="32"/>
        </w:rPr>
        <w:t>三公”经费</w:t>
      </w:r>
      <w:r>
        <w:rPr>
          <w:rFonts w:hint="eastAsia"/>
          <w:szCs w:val="32"/>
        </w:rPr>
        <w:t>。</w:t>
      </w:r>
    </w:p>
    <w:p w14:paraId="66A65D59">
      <w:pPr>
        <w:ind w:firstLine="640" w:firstLineChars="200"/>
        <w:rPr>
          <w:szCs w:val="32"/>
        </w:rPr>
      </w:pPr>
      <w:r>
        <w:rPr>
          <w:rFonts w:hint="eastAsia"/>
          <w:szCs w:val="32"/>
          <w:lang w:eastAsia="zh-CN"/>
        </w:rPr>
        <w:t>202</w:t>
      </w:r>
      <w:r>
        <w:rPr>
          <w:rFonts w:hint="eastAsia"/>
          <w:szCs w:val="32"/>
          <w:lang w:val="en-US" w:eastAsia="zh-CN"/>
        </w:rPr>
        <w:t>6</w:t>
      </w:r>
      <w:r>
        <w:rPr>
          <w:szCs w:val="32"/>
        </w:rPr>
        <w:t>年“三公”经费预算数为</w:t>
      </w:r>
      <w:r>
        <w:rPr>
          <w:rFonts w:hint="eastAsia"/>
          <w:szCs w:val="32"/>
          <w:u w:val="single"/>
        </w:rPr>
        <w:t>0</w:t>
      </w:r>
      <w:r>
        <w:rPr>
          <w:szCs w:val="32"/>
        </w:rPr>
        <w:t>万元，</w:t>
      </w:r>
      <w:r>
        <w:rPr>
          <w:rFonts w:hint="eastAsia"/>
          <w:szCs w:val="32"/>
        </w:rPr>
        <w:t>其中:当年预算</w:t>
      </w:r>
      <w:r>
        <w:rPr>
          <w:rFonts w:hint="eastAsia"/>
          <w:szCs w:val="32"/>
          <w:u w:val="single"/>
        </w:rPr>
        <w:t>0</w:t>
      </w:r>
      <w:r>
        <w:rPr>
          <w:rFonts w:hint="eastAsia"/>
          <w:szCs w:val="32"/>
        </w:rPr>
        <w:t>万元；上年结转</w:t>
      </w:r>
      <w:r>
        <w:rPr>
          <w:rFonts w:hint="eastAsia"/>
          <w:szCs w:val="32"/>
          <w:u w:val="single"/>
        </w:rPr>
        <w:t>0</w:t>
      </w:r>
      <w:r>
        <w:rPr>
          <w:rFonts w:hint="eastAsia"/>
          <w:szCs w:val="32"/>
        </w:rPr>
        <w:t>万元。</w:t>
      </w:r>
      <w:r>
        <w:rPr>
          <w:rFonts w:hint="eastAsia"/>
          <w:szCs w:val="32"/>
          <w:lang w:eastAsia="zh-CN"/>
        </w:rPr>
        <w:t>202</w:t>
      </w:r>
      <w:r>
        <w:rPr>
          <w:rFonts w:hint="eastAsia"/>
          <w:szCs w:val="32"/>
          <w:lang w:val="en-US" w:eastAsia="zh-CN"/>
        </w:rPr>
        <w:t>6</w:t>
      </w:r>
      <w:r>
        <w:rPr>
          <w:rFonts w:hint="eastAsia"/>
          <w:szCs w:val="32"/>
        </w:rPr>
        <w:t>年当年预算数</w:t>
      </w:r>
      <w:r>
        <w:rPr>
          <w:szCs w:val="32"/>
        </w:rPr>
        <w:t>比</w:t>
      </w:r>
      <w:r>
        <w:rPr>
          <w:rFonts w:hint="eastAsia"/>
          <w:szCs w:val="32"/>
          <w:lang w:eastAsia="zh-CN"/>
        </w:rPr>
        <w:t>202</w:t>
      </w:r>
      <w:r>
        <w:rPr>
          <w:rFonts w:hint="eastAsia"/>
          <w:szCs w:val="32"/>
          <w:lang w:val="en-US" w:eastAsia="zh-CN"/>
        </w:rPr>
        <w:t>5</w:t>
      </w:r>
      <w:r>
        <w:rPr>
          <w:szCs w:val="32"/>
        </w:rPr>
        <w:t>年预算数增加（减少）</w:t>
      </w:r>
      <w:r>
        <w:rPr>
          <w:rFonts w:hint="eastAsia"/>
          <w:szCs w:val="32"/>
          <w:u w:val="single"/>
        </w:rPr>
        <w:t>0</w:t>
      </w:r>
      <w:r>
        <w:rPr>
          <w:szCs w:val="32"/>
        </w:rPr>
        <w:t>万元。主要原因是</w:t>
      </w:r>
      <w:r>
        <w:rPr>
          <w:rFonts w:hint="eastAsia"/>
          <w:szCs w:val="32"/>
          <w:u w:val="single"/>
        </w:rPr>
        <w:t>本年与上年未安排此项支出</w:t>
      </w:r>
      <w:r>
        <w:rPr>
          <w:rFonts w:hint="eastAsia"/>
          <w:szCs w:val="32"/>
        </w:rPr>
        <w:t>。</w:t>
      </w:r>
    </w:p>
    <w:p w14:paraId="0692FDDD">
      <w:pPr>
        <w:ind w:firstLine="640" w:firstLineChars="200"/>
        <w:rPr>
          <w:rFonts w:hint="eastAsia"/>
          <w:szCs w:val="32"/>
        </w:rPr>
      </w:pPr>
      <w:r>
        <w:rPr>
          <w:szCs w:val="32"/>
        </w:rPr>
        <w:t>1.因公出国（境）费</w:t>
      </w:r>
      <w:r>
        <w:rPr>
          <w:rFonts w:hint="eastAsia"/>
          <w:szCs w:val="32"/>
          <w:u w:val="single"/>
        </w:rPr>
        <w:t>0</w:t>
      </w:r>
      <w:r>
        <w:rPr>
          <w:szCs w:val="32"/>
        </w:rPr>
        <w:t>万元，</w:t>
      </w:r>
      <w:r>
        <w:rPr>
          <w:rFonts w:hint="eastAsia"/>
          <w:szCs w:val="32"/>
        </w:rPr>
        <w:t>其中：当年预算</w:t>
      </w:r>
      <w:r>
        <w:rPr>
          <w:rFonts w:hint="eastAsia"/>
          <w:szCs w:val="32"/>
          <w:u w:val="single"/>
        </w:rPr>
        <w:t>0</w:t>
      </w:r>
      <w:r>
        <w:rPr>
          <w:rFonts w:hint="eastAsia"/>
          <w:szCs w:val="32"/>
        </w:rPr>
        <w:t>万元；上年结转</w:t>
      </w:r>
      <w:r>
        <w:rPr>
          <w:rFonts w:hint="eastAsia"/>
          <w:szCs w:val="32"/>
          <w:u w:val="single"/>
        </w:rPr>
        <w:t>0</w:t>
      </w:r>
      <w:r>
        <w:rPr>
          <w:rFonts w:hint="eastAsia"/>
          <w:szCs w:val="32"/>
        </w:rPr>
        <w:t>万元。</w:t>
      </w:r>
      <w:r>
        <w:rPr>
          <w:rFonts w:hint="eastAsia"/>
          <w:szCs w:val="32"/>
          <w:lang w:eastAsia="zh-CN"/>
        </w:rPr>
        <w:t>202</w:t>
      </w:r>
      <w:r>
        <w:rPr>
          <w:rFonts w:hint="eastAsia"/>
          <w:szCs w:val="32"/>
          <w:lang w:val="en-US" w:eastAsia="zh-CN"/>
        </w:rPr>
        <w:t>6</w:t>
      </w:r>
      <w:r>
        <w:rPr>
          <w:rFonts w:hint="eastAsia"/>
          <w:szCs w:val="32"/>
        </w:rPr>
        <w:t>年当年预算数</w:t>
      </w:r>
      <w:r>
        <w:rPr>
          <w:szCs w:val="32"/>
        </w:rPr>
        <w:t>比</w:t>
      </w:r>
      <w:r>
        <w:rPr>
          <w:rFonts w:hint="eastAsia"/>
          <w:szCs w:val="32"/>
          <w:lang w:eastAsia="zh-CN"/>
        </w:rPr>
        <w:t>202</w:t>
      </w:r>
      <w:r>
        <w:rPr>
          <w:rFonts w:hint="eastAsia"/>
          <w:szCs w:val="32"/>
          <w:lang w:val="en-US" w:eastAsia="zh-CN"/>
        </w:rPr>
        <w:t>5</w:t>
      </w:r>
      <w:r>
        <w:rPr>
          <w:szCs w:val="32"/>
        </w:rPr>
        <w:t>年预算数增加（减少）</w:t>
      </w:r>
      <w:r>
        <w:rPr>
          <w:rFonts w:hint="eastAsia"/>
          <w:szCs w:val="32"/>
          <w:u w:val="single"/>
        </w:rPr>
        <w:t>0</w:t>
      </w:r>
      <w:r>
        <w:rPr>
          <w:szCs w:val="32"/>
        </w:rPr>
        <w:t>万元，主要原因是</w:t>
      </w:r>
      <w:r>
        <w:rPr>
          <w:rFonts w:hint="eastAsia"/>
          <w:szCs w:val="32"/>
          <w:u w:val="single"/>
        </w:rPr>
        <w:t>本年与上年未安排此项支出</w:t>
      </w:r>
      <w:r>
        <w:rPr>
          <w:rFonts w:hint="eastAsia"/>
          <w:szCs w:val="32"/>
        </w:rPr>
        <w:t>。</w:t>
      </w:r>
    </w:p>
    <w:p w14:paraId="4D599821">
      <w:pPr>
        <w:ind w:firstLine="640" w:firstLineChars="200"/>
        <w:rPr>
          <w:rFonts w:hint="eastAsia"/>
          <w:szCs w:val="32"/>
        </w:rPr>
      </w:pPr>
      <w:r>
        <w:rPr>
          <w:szCs w:val="32"/>
        </w:rPr>
        <w:t>2.公务接待费</w:t>
      </w:r>
      <w:r>
        <w:rPr>
          <w:rFonts w:hint="eastAsia"/>
          <w:szCs w:val="32"/>
          <w:u w:val="single"/>
        </w:rPr>
        <w:t>0</w:t>
      </w:r>
      <w:r>
        <w:rPr>
          <w:szCs w:val="32"/>
        </w:rPr>
        <w:t>万元，</w:t>
      </w:r>
      <w:r>
        <w:rPr>
          <w:rFonts w:hint="eastAsia"/>
          <w:szCs w:val="32"/>
        </w:rPr>
        <w:t>其中：当年预算</w:t>
      </w:r>
      <w:r>
        <w:rPr>
          <w:rFonts w:hint="eastAsia"/>
          <w:szCs w:val="32"/>
          <w:u w:val="single"/>
        </w:rPr>
        <w:t>0</w:t>
      </w:r>
      <w:r>
        <w:rPr>
          <w:rFonts w:hint="eastAsia"/>
          <w:szCs w:val="32"/>
        </w:rPr>
        <w:t>万元；上年结转</w:t>
      </w:r>
      <w:r>
        <w:rPr>
          <w:rFonts w:hint="eastAsia"/>
          <w:szCs w:val="32"/>
          <w:u w:val="single"/>
        </w:rPr>
        <w:t>0</w:t>
      </w:r>
      <w:r>
        <w:rPr>
          <w:rFonts w:hint="eastAsia"/>
          <w:szCs w:val="32"/>
        </w:rPr>
        <w:t>万元。</w:t>
      </w:r>
      <w:r>
        <w:rPr>
          <w:rFonts w:hint="eastAsia"/>
          <w:szCs w:val="32"/>
          <w:lang w:eastAsia="zh-CN"/>
        </w:rPr>
        <w:t>202</w:t>
      </w:r>
      <w:r>
        <w:rPr>
          <w:rFonts w:hint="eastAsia"/>
          <w:szCs w:val="32"/>
          <w:lang w:val="en-US" w:eastAsia="zh-CN"/>
        </w:rPr>
        <w:t>6</w:t>
      </w:r>
      <w:r>
        <w:rPr>
          <w:rFonts w:hint="eastAsia"/>
          <w:szCs w:val="32"/>
        </w:rPr>
        <w:t>年当年预算数</w:t>
      </w:r>
      <w:r>
        <w:rPr>
          <w:szCs w:val="32"/>
        </w:rPr>
        <w:t>比</w:t>
      </w:r>
      <w:r>
        <w:rPr>
          <w:rFonts w:hint="eastAsia"/>
          <w:szCs w:val="32"/>
          <w:lang w:eastAsia="zh-CN"/>
        </w:rPr>
        <w:t>202</w:t>
      </w:r>
      <w:r>
        <w:rPr>
          <w:rFonts w:hint="eastAsia"/>
          <w:szCs w:val="32"/>
          <w:lang w:val="en-US" w:eastAsia="zh-CN"/>
        </w:rPr>
        <w:t>5</w:t>
      </w:r>
      <w:r>
        <w:rPr>
          <w:szCs w:val="32"/>
        </w:rPr>
        <w:t>年预算数增加（减少）</w:t>
      </w:r>
      <w:r>
        <w:rPr>
          <w:rFonts w:hint="eastAsia"/>
          <w:szCs w:val="32"/>
          <w:u w:val="single"/>
        </w:rPr>
        <w:t>0</w:t>
      </w:r>
      <w:r>
        <w:rPr>
          <w:szCs w:val="32"/>
        </w:rPr>
        <w:t>万元，主要原因是</w:t>
      </w:r>
      <w:r>
        <w:rPr>
          <w:rFonts w:hint="eastAsia"/>
          <w:szCs w:val="32"/>
          <w:u w:val="single"/>
        </w:rPr>
        <w:t>本年与上年未安排此项支出</w:t>
      </w:r>
      <w:r>
        <w:rPr>
          <w:rFonts w:hint="eastAsia"/>
          <w:szCs w:val="32"/>
        </w:rPr>
        <w:t>。</w:t>
      </w:r>
    </w:p>
    <w:p w14:paraId="657260C6">
      <w:pPr>
        <w:ind w:firstLine="640" w:firstLineChars="200"/>
        <w:rPr>
          <w:rFonts w:hint="eastAsia"/>
          <w:szCs w:val="32"/>
        </w:rPr>
      </w:pPr>
      <w:r>
        <w:rPr>
          <w:szCs w:val="32"/>
        </w:rPr>
        <w:t>3.公务用车购置及运行费</w:t>
      </w:r>
      <w:r>
        <w:rPr>
          <w:rFonts w:hint="eastAsia"/>
          <w:szCs w:val="32"/>
          <w:u w:val="single"/>
        </w:rPr>
        <w:t>0</w:t>
      </w:r>
      <w:r>
        <w:rPr>
          <w:szCs w:val="32"/>
        </w:rPr>
        <w:t>万元，</w:t>
      </w:r>
      <w:r>
        <w:rPr>
          <w:rFonts w:hint="eastAsia"/>
          <w:szCs w:val="32"/>
        </w:rPr>
        <w:t>其中：当年预算</w:t>
      </w:r>
      <w:r>
        <w:rPr>
          <w:szCs w:val="32"/>
        </w:rPr>
        <w:t>_</w:t>
      </w:r>
      <w:r>
        <w:rPr>
          <w:rFonts w:hint="eastAsia"/>
          <w:szCs w:val="32"/>
          <w:u w:val="single"/>
        </w:rPr>
        <w:t>0</w:t>
      </w:r>
      <w:r>
        <w:rPr>
          <w:rFonts w:hint="eastAsia"/>
          <w:szCs w:val="32"/>
        </w:rPr>
        <w:t>万元；上年结转</w:t>
      </w:r>
      <w:r>
        <w:rPr>
          <w:rFonts w:hint="eastAsia"/>
          <w:szCs w:val="32"/>
          <w:u w:val="single"/>
        </w:rPr>
        <w:t>0</w:t>
      </w:r>
      <w:r>
        <w:rPr>
          <w:rFonts w:hint="eastAsia"/>
          <w:szCs w:val="32"/>
        </w:rPr>
        <w:t>万元。</w:t>
      </w:r>
      <w:r>
        <w:rPr>
          <w:rFonts w:hint="eastAsia"/>
          <w:szCs w:val="32"/>
          <w:lang w:eastAsia="zh-CN"/>
        </w:rPr>
        <w:t>202</w:t>
      </w:r>
      <w:r>
        <w:rPr>
          <w:rFonts w:hint="eastAsia"/>
          <w:szCs w:val="32"/>
          <w:lang w:val="en-US" w:eastAsia="zh-CN"/>
        </w:rPr>
        <w:t>6</w:t>
      </w:r>
      <w:r>
        <w:rPr>
          <w:rFonts w:hint="eastAsia"/>
          <w:szCs w:val="32"/>
        </w:rPr>
        <w:t>年当年预算数</w:t>
      </w:r>
      <w:r>
        <w:rPr>
          <w:szCs w:val="32"/>
        </w:rPr>
        <w:t>比</w:t>
      </w:r>
      <w:r>
        <w:rPr>
          <w:rFonts w:hint="eastAsia"/>
          <w:szCs w:val="32"/>
          <w:lang w:eastAsia="zh-CN"/>
        </w:rPr>
        <w:t>202</w:t>
      </w:r>
      <w:r>
        <w:rPr>
          <w:rFonts w:hint="eastAsia"/>
          <w:szCs w:val="32"/>
          <w:lang w:val="en-US" w:eastAsia="zh-CN"/>
        </w:rPr>
        <w:t>5</w:t>
      </w:r>
      <w:r>
        <w:rPr>
          <w:szCs w:val="32"/>
        </w:rPr>
        <w:t>年预算数增加（减少）</w:t>
      </w:r>
      <w:r>
        <w:rPr>
          <w:rFonts w:hint="eastAsia"/>
          <w:szCs w:val="32"/>
          <w:u w:val="single"/>
        </w:rPr>
        <w:t>0</w:t>
      </w:r>
      <w:r>
        <w:rPr>
          <w:szCs w:val="32"/>
        </w:rPr>
        <w:t>万元。公务用车运行维护费</w:t>
      </w:r>
      <w:r>
        <w:rPr>
          <w:rFonts w:hint="eastAsia"/>
          <w:szCs w:val="32"/>
          <w:u w:val="single"/>
        </w:rPr>
        <w:t>0</w:t>
      </w:r>
      <w:r>
        <w:rPr>
          <w:szCs w:val="32"/>
        </w:rPr>
        <w:t>万元，</w:t>
      </w:r>
      <w:r>
        <w:rPr>
          <w:rFonts w:hint="eastAsia"/>
          <w:szCs w:val="32"/>
        </w:rPr>
        <w:t>其中：当年预算</w:t>
      </w:r>
      <w:r>
        <w:rPr>
          <w:rFonts w:hint="eastAsia"/>
          <w:szCs w:val="32"/>
          <w:u w:val="single"/>
        </w:rPr>
        <w:t>0</w:t>
      </w:r>
      <w:r>
        <w:rPr>
          <w:rFonts w:hint="eastAsia"/>
          <w:szCs w:val="32"/>
        </w:rPr>
        <w:t>万元；上年结转</w:t>
      </w:r>
      <w:r>
        <w:rPr>
          <w:rFonts w:hint="eastAsia"/>
          <w:szCs w:val="32"/>
          <w:u w:val="single"/>
        </w:rPr>
        <w:t>0</w:t>
      </w:r>
      <w:r>
        <w:rPr>
          <w:rFonts w:hint="eastAsia"/>
          <w:szCs w:val="32"/>
        </w:rPr>
        <w:t>万元。</w:t>
      </w:r>
      <w:r>
        <w:rPr>
          <w:rFonts w:hint="eastAsia"/>
          <w:szCs w:val="32"/>
          <w:lang w:eastAsia="zh-CN"/>
        </w:rPr>
        <w:t>202</w:t>
      </w:r>
      <w:r>
        <w:rPr>
          <w:rFonts w:hint="eastAsia"/>
          <w:szCs w:val="32"/>
          <w:lang w:val="en-US" w:eastAsia="zh-CN"/>
        </w:rPr>
        <w:t>6</w:t>
      </w:r>
      <w:r>
        <w:rPr>
          <w:rFonts w:hint="eastAsia"/>
          <w:szCs w:val="32"/>
        </w:rPr>
        <w:t>年当年预算数</w:t>
      </w:r>
      <w:r>
        <w:rPr>
          <w:szCs w:val="32"/>
        </w:rPr>
        <w:t>比</w:t>
      </w:r>
      <w:r>
        <w:rPr>
          <w:rFonts w:hint="eastAsia"/>
          <w:szCs w:val="32"/>
          <w:lang w:eastAsia="zh-CN"/>
        </w:rPr>
        <w:t>202</w:t>
      </w:r>
      <w:r>
        <w:rPr>
          <w:rFonts w:hint="eastAsia"/>
          <w:szCs w:val="32"/>
          <w:lang w:val="en-US" w:eastAsia="zh-CN"/>
        </w:rPr>
        <w:t>5</w:t>
      </w:r>
      <w:r>
        <w:rPr>
          <w:szCs w:val="32"/>
        </w:rPr>
        <w:t>年预算数增加（减少）</w:t>
      </w:r>
      <w:r>
        <w:rPr>
          <w:rFonts w:hint="eastAsia"/>
          <w:szCs w:val="32"/>
          <w:u w:val="single"/>
        </w:rPr>
        <w:t>0</w:t>
      </w:r>
      <w:r>
        <w:rPr>
          <w:szCs w:val="32"/>
        </w:rPr>
        <w:t>万元，主要原因是</w:t>
      </w:r>
      <w:r>
        <w:rPr>
          <w:rFonts w:hint="eastAsia"/>
          <w:szCs w:val="32"/>
          <w:u w:val="single"/>
        </w:rPr>
        <w:t>本年与上年未安排此项支出</w:t>
      </w:r>
      <w:r>
        <w:rPr>
          <w:rFonts w:hint="eastAsia"/>
          <w:szCs w:val="32"/>
        </w:rPr>
        <w:t>。</w:t>
      </w:r>
      <w:r>
        <w:rPr>
          <w:szCs w:val="32"/>
        </w:rPr>
        <w:t>；公务用车购置费</w:t>
      </w:r>
      <w:r>
        <w:rPr>
          <w:rFonts w:hint="eastAsia"/>
          <w:szCs w:val="32"/>
          <w:u w:val="single"/>
        </w:rPr>
        <w:t>0</w:t>
      </w:r>
      <w:r>
        <w:rPr>
          <w:szCs w:val="32"/>
        </w:rPr>
        <w:t>万元，</w:t>
      </w:r>
      <w:r>
        <w:rPr>
          <w:rFonts w:hint="eastAsia"/>
          <w:szCs w:val="32"/>
        </w:rPr>
        <w:t>其中：当年预算</w:t>
      </w:r>
      <w:r>
        <w:rPr>
          <w:rFonts w:hint="eastAsia"/>
          <w:szCs w:val="32"/>
          <w:u w:val="single"/>
        </w:rPr>
        <w:t>0</w:t>
      </w:r>
      <w:r>
        <w:rPr>
          <w:rFonts w:hint="eastAsia"/>
          <w:szCs w:val="32"/>
        </w:rPr>
        <w:t>万元；上年结转</w:t>
      </w:r>
      <w:r>
        <w:rPr>
          <w:rFonts w:hint="eastAsia"/>
          <w:szCs w:val="32"/>
          <w:u w:val="single"/>
        </w:rPr>
        <w:t>0</w:t>
      </w:r>
      <w:r>
        <w:rPr>
          <w:rFonts w:hint="eastAsia"/>
          <w:szCs w:val="32"/>
        </w:rPr>
        <w:t>万元。</w:t>
      </w:r>
      <w:r>
        <w:rPr>
          <w:rFonts w:hint="eastAsia"/>
          <w:szCs w:val="32"/>
          <w:lang w:eastAsia="zh-CN"/>
        </w:rPr>
        <w:t>202</w:t>
      </w:r>
      <w:r>
        <w:rPr>
          <w:rFonts w:hint="eastAsia"/>
          <w:szCs w:val="32"/>
          <w:lang w:val="en-US" w:eastAsia="zh-CN"/>
        </w:rPr>
        <w:t>6</w:t>
      </w:r>
      <w:r>
        <w:rPr>
          <w:rFonts w:hint="eastAsia"/>
          <w:szCs w:val="32"/>
        </w:rPr>
        <w:t>年当年预算数</w:t>
      </w:r>
      <w:r>
        <w:rPr>
          <w:szCs w:val="32"/>
        </w:rPr>
        <w:t>比</w:t>
      </w:r>
      <w:r>
        <w:rPr>
          <w:rFonts w:hint="eastAsia"/>
          <w:szCs w:val="32"/>
          <w:lang w:eastAsia="zh-CN"/>
        </w:rPr>
        <w:t>202</w:t>
      </w:r>
      <w:r>
        <w:rPr>
          <w:rFonts w:hint="eastAsia"/>
          <w:szCs w:val="32"/>
          <w:lang w:val="en-US" w:eastAsia="zh-CN"/>
        </w:rPr>
        <w:t>5</w:t>
      </w:r>
      <w:r>
        <w:rPr>
          <w:szCs w:val="32"/>
        </w:rPr>
        <w:t>年预算数增加（减少）</w:t>
      </w:r>
      <w:r>
        <w:rPr>
          <w:rFonts w:hint="eastAsia"/>
          <w:szCs w:val="32"/>
          <w:u w:val="single"/>
        </w:rPr>
        <w:t>0</w:t>
      </w:r>
      <w:r>
        <w:rPr>
          <w:szCs w:val="32"/>
        </w:rPr>
        <w:t>万元，主要原因是</w:t>
      </w:r>
      <w:r>
        <w:rPr>
          <w:rFonts w:hint="eastAsia"/>
          <w:szCs w:val="32"/>
          <w:u w:val="single"/>
        </w:rPr>
        <w:t>本年与上年未安排此项支出</w:t>
      </w:r>
      <w:r>
        <w:rPr>
          <w:rFonts w:hint="eastAsia"/>
          <w:szCs w:val="32"/>
        </w:rPr>
        <w:t>。</w:t>
      </w:r>
    </w:p>
    <w:p w14:paraId="5C7E987F">
      <w:pPr>
        <w:ind w:firstLine="640" w:firstLineChars="200"/>
        <w:rPr>
          <w:rFonts w:eastAsia="黑体"/>
          <w:szCs w:val="32"/>
        </w:rPr>
      </w:pPr>
      <w:r>
        <w:rPr>
          <w:rFonts w:eastAsia="黑体"/>
          <w:szCs w:val="32"/>
        </w:rPr>
        <w:t>八、</w:t>
      </w:r>
      <w:r>
        <w:rPr>
          <w:rFonts w:hint="eastAsia" w:eastAsia="黑体"/>
          <w:szCs w:val="32"/>
          <w:lang w:eastAsia="zh-CN"/>
        </w:rPr>
        <w:t>202</w:t>
      </w:r>
      <w:r>
        <w:rPr>
          <w:rFonts w:hint="eastAsia" w:eastAsia="黑体"/>
          <w:szCs w:val="32"/>
          <w:lang w:val="en-US" w:eastAsia="zh-CN"/>
        </w:rPr>
        <w:t>6</w:t>
      </w:r>
      <w:r>
        <w:rPr>
          <w:rFonts w:eastAsia="黑体"/>
          <w:szCs w:val="32"/>
        </w:rPr>
        <w:t>年政府性基金预算支出情况</w:t>
      </w:r>
    </w:p>
    <w:p w14:paraId="0EE74E2C">
      <w:pPr>
        <w:ind w:firstLine="640"/>
        <w:rPr>
          <w:rFonts w:hint="eastAsia"/>
          <w:szCs w:val="32"/>
        </w:rPr>
      </w:pPr>
      <w:r>
        <w:rPr>
          <w:szCs w:val="32"/>
        </w:rPr>
        <w:t>本部门无政府性基金预算拨款</w:t>
      </w:r>
      <w:r>
        <w:rPr>
          <w:rFonts w:hint="eastAsia"/>
          <w:szCs w:val="32"/>
        </w:rPr>
        <w:t>。</w:t>
      </w:r>
    </w:p>
    <w:p w14:paraId="7C969577">
      <w:pPr>
        <w:ind w:firstLine="640"/>
        <w:rPr>
          <w:szCs w:val="32"/>
        </w:rPr>
      </w:pPr>
      <w:r>
        <w:rPr>
          <w:rFonts w:hint="eastAsia"/>
          <w:szCs w:val="32"/>
          <w:lang w:eastAsia="zh-CN"/>
        </w:rPr>
        <w:t>202</w:t>
      </w:r>
      <w:r>
        <w:rPr>
          <w:rFonts w:hint="eastAsia"/>
          <w:szCs w:val="32"/>
          <w:lang w:val="en-US" w:eastAsia="zh-CN"/>
        </w:rPr>
        <w:t>6</w:t>
      </w:r>
      <w:r>
        <w:rPr>
          <w:szCs w:val="32"/>
        </w:rPr>
        <w:t>年政府性基金预算支出</w:t>
      </w:r>
      <w:r>
        <w:rPr>
          <w:rFonts w:hint="eastAsia"/>
          <w:szCs w:val="32"/>
          <w:u w:val="single"/>
        </w:rPr>
        <w:t>0</w:t>
      </w:r>
      <w:r>
        <w:rPr>
          <w:szCs w:val="32"/>
        </w:rPr>
        <w:t>万元，其中：基本支出</w:t>
      </w:r>
      <w:r>
        <w:rPr>
          <w:rFonts w:hint="eastAsia"/>
          <w:szCs w:val="32"/>
          <w:u w:val="single"/>
        </w:rPr>
        <w:t>0</w:t>
      </w:r>
      <w:r>
        <w:rPr>
          <w:szCs w:val="32"/>
        </w:rPr>
        <w:t>万元，占</w:t>
      </w:r>
      <w:r>
        <w:rPr>
          <w:rFonts w:hint="eastAsia"/>
          <w:szCs w:val="32"/>
          <w:u w:val="single"/>
        </w:rPr>
        <w:t>0</w:t>
      </w:r>
      <w:r>
        <w:rPr>
          <w:szCs w:val="32"/>
        </w:rPr>
        <w:t>%；项目支出_</w:t>
      </w:r>
      <w:r>
        <w:rPr>
          <w:rFonts w:hint="eastAsia"/>
          <w:szCs w:val="32"/>
          <w:u w:val="single"/>
        </w:rPr>
        <w:t>0</w:t>
      </w:r>
      <w:r>
        <w:rPr>
          <w:szCs w:val="32"/>
        </w:rPr>
        <w:t>万元，占</w:t>
      </w:r>
      <w:r>
        <w:rPr>
          <w:rFonts w:hint="eastAsia"/>
          <w:szCs w:val="32"/>
          <w:u w:val="single"/>
        </w:rPr>
        <w:t>0</w:t>
      </w:r>
      <w:r>
        <w:rPr>
          <w:szCs w:val="32"/>
        </w:rPr>
        <w:t>%。基本支出中，人员经费</w:t>
      </w:r>
      <w:r>
        <w:rPr>
          <w:rFonts w:hint="eastAsia"/>
          <w:szCs w:val="32"/>
          <w:u w:val="single"/>
        </w:rPr>
        <w:t>0</w:t>
      </w:r>
      <w:r>
        <w:rPr>
          <w:szCs w:val="32"/>
        </w:rPr>
        <w:t>万元，占</w:t>
      </w:r>
      <w:r>
        <w:rPr>
          <w:rFonts w:hint="eastAsia"/>
          <w:szCs w:val="32"/>
          <w:u w:val="single"/>
        </w:rPr>
        <w:t>0</w:t>
      </w:r>
      <w:r>
        <w:rPr>
          <w:szCs w:val="32"/>
        </w:rPr>
        <w:t>%；公用经费</w:t>
      </w:r>
      <w:r>
        <w:rPr>
          <w:rFonts w:hint="eastAsia"/>
          <w:szCs w:val="32"/>
          <w:u w:val="single"/>
        </w:rPr>
        <w:t>0</w:t>
      </w:r>
      <w:r>
        <w:rPr>
          <w:szCs w:val="32"/>
        </w:rPr>
        <w:t>万元，占</w:t>
      </w:r>
      <w:r>
        <w:rPr>
          <w:rFonts w:hint="eastAsia"/>
          <w:szCs w:val="32"/>
          <w:u w:val="single"/>
        </w:rPr>
        <w:t>0</w:t>
      </w:r>
      <w:r>
        <w:rPr>
          <w:szCs w:val="32"/>
        </w:rPr>
        <w:t>%。</w:t>
      </w:r>
    </w:p>
    <w:p w14:paraId="14ABEDB3">
      <w:pPr>
        <w:ind w:firstLine="640"/>
        <w:rPr>
          <w:szCs w:val="32"/>
        </w:rPr>
      </w:pPr>
      <w:r>
        <w:rPr>
          <w:szCs w:val="32"/>
        </w:rPr>
        <w:t>科学技术（类）支出</w:t>
      </w:r>
      <w:r>
        <w:rPr>
          <w:rFonts w:hint="eastAsia"/>
          <w:szCs w:val="32"/>
          <w:u w:val="single"/>
        </w:rPr>
        <w:t>0</w:t>
      </w:r>
      <w:r>
        <w:rPr>
          <w:szCs w:val="32"/>
        </w:rPr>
        <w:t>万元，占</w:t>
      </w:r>
      <w:r>
        <w:rPr>
          <w:rFonts w:hint="eastAsia"/>
          <w:szCs w:val="32"/>
          <w:u w:val="single"/>
        </w:rPr>
        <w:t>0</w:t>
      </w:r>
      <w:r>
        <w:rPr>
          <w:szCs w:val="32"/>
        </w:rPr>
        <w:t>_%。</w:t>
      </w:r>
    </w:p>
    <w:p w14:paraId="51FE8476">
      <w:pPr>
        <w:ind w:firstLine="640"/>
        <w:rPr>
          <w:szCs w:val="32"/>
        </w:rPr>
      </w:pPr>
      <w:r>
        <w:rPr>
          <w:szCs w:val="32"/>
        </w:rPr>
        <w:t>文化</w:t>
      </w:r>
      <w:r>
        <w:rPr>
          <w:rFonts w:hint="eastAsia"/>
          <w:szCs w:val="32"/>
        </w:rPr>
        <w:t>旅游</w:t>
      </w:r>
      <w:r>
        <w:rPr>
          <w:szCs w:val="32"/>
        </w:rPr>
        <w:t>体育与传媒（类）支出</w:t>
      </w:r>
      <w:r>
        <w:rPr>
          <w:rFonts w:hint="eastAsia"/>
          <w:szCs w:val="32"/>
          <w:u w:val="single"/>
        </w:rPr>
        <w:t>0</w:t>
      </w:r>
      <w:r>
        <w:rPr>
          <w:szCs w:val="32"/>
        </w:rPr>
        <w:t>万元，占</w:t>
      </w:r>
      <w:r>
        <w:rPr>
          <w:rFonts w:hint="eastAsia"/>
          <w:szCs w:val="32"/>
          <w:u w:val="single"/>
        </w:rPr>
        <w:t>0</w:t>
      </w:r>
      <w:r>
        <w:rPr>
          <w:szCs w:val="32"/>
        </w:rPr>
        <w:t>%。</w:t>
      </w:r>
    </w:p>
    <w:p w14:paraId="23EA1BC3">
      <w:pPr>
        <w:ind w:firstLine="640"/>
        <w:rPr>
          <w:szCs w:val="32"/>
        </w:rPr>
      </w:pPr>
      <w:r>
        <w:rPr>
          <w:szCs w:val="32"/>
        </w:rPr>
        <w:t>社会保障和就业（类）支出</w:t>
      </w:r>
      <w:r>
        <w:rPr>
          <w:rFonts w:hint="eastAsia"/>
          <w:szCs w:val="32"/>
          <w:u w:val="single"/>
        </w:rPr>
        <w:t>0</w:t>
      </w:r>
      <w:r>
        <w:rPr>
          <w:szCs w:val="32"/>
        </w:rPr>
        <w:t>万元，占</w:t>
      </w:r>
      <w:r>
        <w:rPr>
          <w:rFonts w:hint="eastAsia"/>
          <w:szCs w:val="32"/>
          <w:u w:val="single"/>
        </w:rPr>
        <w:t>0</w:t>
      </w:r>
      <w:r>
        <w:rPr>
          <w:szCs w:val="32"/>
        </w:rPr>
        <w:t>_%</w:t>
      </w:r>
      <w:r>
        <w:rPr>
          <w:rFonts w:hint="eastAsia"/>
          <w:szCs w:val="32"/>
        </w:rPr>
        <w:t>。</w:t>
      </w:r>
      <w:r>
        <w:rPr>
          <w:szCs w:val="32"/>
        </w:rPr>
        <w:t>农林水支出（类）支出</w:t>
      </w:r>
      <w:r>
        <w:rPr>
          <w:rFonts w:hint="eastAsia"/>
          <w:szCs w:val="32"/>
          <w:u w:val="single"/>
        </w:rPr>
        <w:t>0</w:t>
      </w:r>
      <w:r>
        <w:rPr>
          <w:szCs w:val="32"/>
        </w:rPr>
        <w:t>_万元，占</w:t>
      </w:r>
      <w:r>
        <w:rPr>
          <w:rFonts w:hint="eastAsia"/>
          <w:szCs w:val="32"/>
          <w:u w:val="single"/>
        </w:rPr>
        <w:t>0</w:t>
      </w:r>
      <w:r>
        <w:rPr>
          <w:szCs w:val="32"/>
        </w:rPr>
        <w:t>%。</w:t>
      </w:r>
    </w:p>
    <w:p w14:paraId="315F0D9D">
      <w:pPr>
        <w:ind w:firstLine="640" w:firstLineChars="200"/>
        <w:rPr>
          <w:rFonts w:eastAsia="黑体"/>
          <w:szCs w:val="32"/>
        </w:rPr>
      </w:pPr>
      <w:r>
        <w:rPr>
          <w:rFonts w:hint="eastAsia" w:eastAsia="黑体"/>
          <w:szCs w:val="32"/>
        </w:rPr>
        <w:t>九</w:t>
      </w:r>
      <w:r>
        <w:rPr>
          <w:rFonts w:eastAsia="黑体"/>
          <w:szCs w:val="32"/>
        </w:rPr>
        <w:t>、</w:t>
      </w:r>
      <w:r>
        <w:rPr>
          <w:rFonts w:hint="eastAsia" w:eastAsia="黑体"/>
          <w:szCs w:val="32"/>
          <w:lang w:eastAsia="zh-CN"/>
        </w:rPr>
        <w:t>202</w:t>
      </w:r>
      <w:r>
        <w:rPr>
          <w:rFonts w:hint="eastAsia" w:eastAsia="黑体"/>
          <w:szCs w:val="32"/>
          <w:lang w:val="en-US" w:eastAsia="zh-CN"/>
        </w:rPr>
        <w:t>6</w:t>
      </w:r>
      <w:r>
        <w:rPr>
          <w:rFonts w:eastAsia="黑体"/>
          <w:szCs w:val="32"/>
        </w:rPr>
        <w:t>年</w:t>
      </w:r>
      <w:r>
        <w:rPr>
          <w:rFonts w:hint="eastAsia" w:eastAsia="黑体"/>
          <w:szCs w:val="32"/>
        </w:rPr>
        <w:t>国有资本经营</w:t>
      </w:r>
      <w:r>
        <w:rPr>
          <w:rFonts w:eastAsia="黑体"/>
          <w:szCs w:val="32"/>
        </w:rPr>
        <w:t>预算支出情况</w:t>
      </w:r>
    </w:p>
    <w:p w14:paraId="22506E39">
      <w:pPr>
        <w:ind w:firstLine="640"/>
        <w:rPr>
          <w:rFonts w:hint="eastAsia"/>
          <w:szCs w:val="32"/>
        </w:rPr>
      </w:pPr>
      <w:r>
        <w:rPr>
          <w:rFonts w:hint="eastAsia"/>
          <w:szCs w:val="32"/>
        </w:rPr>
        <w:t>本部门无国有资本经营预算拨款</w:t>
      </w:r>
    </w:p>
    <w:p w14:paraId="57A09DA7">
      <w:pPr>
        <w:ind w:firstLine="640"/>
        <w:rPr>
          <w:szCs w:val="32"/>
        </w:rPr>
      </w:pPr>
      <w:r>
        <w:rPr>
          <w:rFonts w:hint="eastAsia"/>
          <w:szCs w:val="32"/>
          <w:lang w:eastAsia="zh-CN"/>
        </w:rPr>
        <w:t>202</w:t>
      </w:r>
      <w:r>
        <w:rPr>
          <w:rFonts w:hint="eastAsia"/>
          <w:szCs w:val="32"/>
          <w:lang w:val="en-US" w:eastAsia="zh-CN"/>
        </w:rPr>
        <w:t>6</w:t>
      </w:r>
      <w:r>
        <w:rPr>
          <w:szCs w:val="32"/>
        </w:rPr>
        <w:t>年</w:t>
      </w:r>
      <w:r>
        <w:rPr>
          <w:rFonts w:hint="eastAsia"/>
          <w:szCs w:val="32"/>
        </w:rPr>
        <w:t>国有资本经营</w:t>
      </w:r>
      <w:r>
        <w:rPr>
          <w:szCs w:val="32"/>
        </w:rPr>
        <w:t>预算支出</w:t>
      </w:r>
      <w:r>
        <w:rPr>
          <w:rFonts w:hint="eastAsia"/>
          <w:szCs w:val="32"/>
          <w:u w:val="single"/>
        </w:rPr>
        <w:t>0</w:t>
      </w:r>
      <w:r>
        <w:rPr>
          <w:szCs w:val="32"/>
        </w:rPr>
        <w:t>_万元，其中：基本支出</w:t>
      </w:r>
      <w:r>
        <w:rPr>
          <w:rFonts w:hint="eastAsia"/>
          <w:szCs w:val="32"/>
          <w:u w:val="single"/>
        </w:rPr>
        <w:t>0</w:t>
      </w:r>
      <w:r>
        <w:rPr>
          <w:szCs w:val="32"/>
        </w:rPr>
        <w:t>万元，占</w:t>
      </w:r>
      <w:r>
        <w:rPr>
          <w:rFonts w:hint="eastAsia"/>
          <w:szCs w:val="32"/>
          <w:u w:val="single"/>
        </w:rPr>
        <w:t>0</w:t>
      </w:r>
      <w:r>
        <w:rPr>
          <w:szCs w:val="32"/>
        </w:rPr>
        <w:t>%；项目支出</w:t>
      </w:r>
      <w:r>
        <w:rPr>
          <w:rFonts w:hint="eastAsia"/>
          <w:szCs w:val="32"/>
          <w:u w:val="single"/>
        </w:rPr>
        <w:t>0</w:t>
      </w:r>
      <w:r>
        <w:rPr>
          <w:szCs w:val="32"/>
        </w:rPr>
        <w:t>万元，占</w:t>
      </w:r>
      <w:r>
        <w:rPr>
          <w:rFonts w:hint="eastAsia"/>
          <w:szCs w:val="32"/>
          <w:u w:val="single"/>
        </w:rPr>
        <w:t>0</w:t>
      </w:r>
      <w:r>
        <w:rPr>
          <w:szCs w:val="32"/>
        </w:rPr>
        <w:t>%。</w:t>
      </w:r>
    </w:p>
    <w:p w14:paraId="712FFD03">
      <w:pPr>
        <w:ind w:firstLine="640"/>
        <w:rPr>
          <w:szCs w:val="32"/>
        </w:rPr>
      </w:pPr>
      <w:r>
        <w:rPr>
          <w:rFonts w:hint="eastAsia"/>
          <w:szCs w:val="32"/>
        </w:rPr>
        <w:t>解决历史遗留问题及改革（款）</w:t>
      </w:r>
      <w:r>
        <w:rPr>
          <w:szCs w:val="32"/>
        </w:rPr>
        <w:t>支出</w:t>
      </w:r>
      <w:r>
        <w:rPr>
          <w:rFonts w:hint="eastAsia"/>
          <w:szCs w:val="32"/>
          <w:u w:val="single"/>
        </w:rPr>
        <w:t>0</w:t>
      </w:r>
      <w:r>
        <w:rPr>
          <w:szCs w:val="32"/>
        </w:rPr>
        <w:t>万元，占</w:t>
      </w:r>
      <w:r>
        <w:rPr>
          <w:rFonts w:hint="eastAsia"/>
          <w:szCs w:val="32"/>
          <w:u w:val="single"/>
        </w:rPr>
        <w:t>0</w:t>
      </w:r>
      <w:r>
        <w:rPr>
          <w:szCs w:val="32"/>
        </w:rPr>
        <w:t>%。</w:t>
      </w:r>
    </w:p>
    <w:p w14:paraId="4F15CDC3">
      <w:pPr>
        <w:ind w:firstLine="640"/>
        <w:rPr>
          <w:szCs w:val="32"/>
        </w:rPr>
      </w:pPr>
      <w:r>
        <w:rPr>
          <w:rFonts w:hint="eastAsia"/>
          <w:szCs w:val="32"/>
        </w:rPr>
        <w:t>国有企业资本金注入</w:t>
      </w:r>
      <w:r>
        <w:rPr>
          <w:szCs w:val="32"/>
        </w:rPr>
        <w:t>（</w:t>
      </w:r>
      <w:r>
        <w:rPr>
          <w:rFonts w:hint="eastAsia"/>
          <w:szCs w:val="32"/>
        </w:rPr>
        <w:t>款</w:t>
      </w:r>
      <w:r>
        <w:rPr>
          <w:szCs w:val="32"/>
        </w:rPr>
        <w:t>）支出</w:t>
      </w:r>
      <w:r>
        <w:rPr>
          <w:rFonts w:hint="eastAsia"/>
          <w:szCs w:val="32"/>
          <w:u w:val="single"/>
        </w:rPr>
        <w:t>0</w:t>
      </w:r>
      <w:r>
        <w:rPr>
          <w:szCs w:val="32"/>
        </w:rPr>
        <w:t>万元，占</w:t>
      </w:r>
      <w:r>
        <w:rPr>
          <w:rFonts w:hint="eastAsia"/>
          <w:szCs w:val="32"/>
          <w:u w:val="single"/>
        </w:rPr>
        <w:t>0</w:t>
      </w:r>
      <w:r>
        <w:rPr>
          <w:szCs w:val="32"/>
        </w:rPr>
        <w:t>%。</w:t>
      </w:r>
    </w:p>
    <w:p w14:paraId="1BD0B3D5">
      <w:pPr>
        <w:ind w:firstLine="640"/>
        <w:rPr>
          <w:rFonts w:hint="eastAsia"/>
          <w:szCs w:val="32"/>
        </w:rPr>
      </w:pPr>
      <w:r>
        <w:rPr>
          <w:rFonts w:hint="eastAsia"/>
          <w:szCs w:val="32"/>
        </w:rPr>
        <w:t>国有企业政策性补贴</w:t>
      </w:r>
      <w:r>
        <w:rPr>
          <w:szCs w:val="32"/>
        </w:rPr>
        <w:t>（</w:t>
      </w:r>
      <w:r>
        <w:rPr>
          <w:rFonts w:hint="eastAsia"/>
          <w:szCs w:val="32"/>
        </w:rPr>
        <w:t>款</w:t>
      </w:r>
      <w:r>
        <w:rPr>
          <w:szCs w:val="32"/>
        </w:rPr>
        <w:t>）支出</w:t>
      </w:r>
      <w:r>
        <w:rPr>
          <w:rFonts w:hint="eastAsia"/>
          <w:szCs w:val="32"/>
          <w:u w:val="single"/>
        </w:rPr>
        <w:t>0</w:t>
      </w:r>
      <w:r>
        <w:rPr>
          <w:szCs w:val="32"/>
        </w:rPr>
        <w:t>万元，占</w:t>
      </w:r>
      <w:r>
        <w:rPr>
          <w:rFonts w:hint="eastAsia"/>
          <w:szCs w:val="32"/>
          <w:u w:val="single"/>
        </w:rPr>
        <w:t>0</w:t>
      </w:r>
      <w:r>
        <w:rPr>
          <w:szCs w:val="32"/>
        </w:rPr>
        <w:t>%</w:t>
      </w:r>
      <w:r>
        <w:rPr>
          <w:rFonts w:hint="eastAsia"/>
          <w:szCs w:val="32"/>
        </w:rPr>
        <w:t>。其他国有资本经营预算</w:t>
      </w:r>
      <w:r>
        <w:rPr>
          <w:szCs w:val="32"/>
        </w:rPr>
        <w:t>（</w:t>
      </w:r>
      <w:r>
        <w:rPr>
          <w:rFonts w:hint="eastAsia"/>
          <w:szCs w:val="32"/>
        </w:rPr>
        <w:t>款</w:t>
      </w:r>
      <w:r>
        <w:rPr>
          <w:szCs w:val="32"/>
        </w:rPr>
        <w:t>）支出</w:t>
      </w:r>
      <w:r>
        <w:rPr>
          <w:rFonts w:hint="eastAsia"/>
          <w:szCs w:val="32"/>
          <w:u w:val="single"/>
        </w:rPr>
        <w:t>0</w:t>
      </w:r>
      <w:r>
        <w:rPr>
          <w:szCs w:val="32"/>
        </w:rPr>
        <w:t>万元，占</w:t>
      </w:r>
      <w:r>
        <w:rPr>
          <w:rFonts w:hint="eastAsia"/>
          <w:szCs w:val="32"/>
          <w:u w:val="single"/>
        </w:rPr>
        <w:t>0</w:t>
      </w:r>
      <w:r>
        <w:rPr>
          <w:szCs w:val="32"/>
        </w:rPr>
        <w:t>%</w:t>
      </w:r>
      <w:r>
        <w:rPr>
          <w:rFonts w:hint="eastAsia"/>
          <w:szCs w:val="32"/>
        </w:rPr>
        <w:t>。</w:t>
      </w:r>
    </w:p>
    <w:p w14:paraId="71CBEB6C">
      <w:pPr>
        <w:ind w:firstLine="640"/>
        <w:rPr>
          <w:rFonts w:eastAsia="黑体"/>
          <w:szCs w:val="32"/>
        </w:rPr>
      </w:pPr>
      <w:r>
        <w:rPr>
          <w:rFonts w:hint="eastAsia" w:eastAsia="黑体"/>
          <w:szCs w:val="32"/>
        </w:rPr>
        <w:t>十</w:t>
      </w:r>
      <w:r>
        <w:rPr>
          <w:rFonts w:eastAsia="黑体"/>
          <w:szCs w:val="32"/>
        </w:rPr>
        <w:t>、其他重要事项的说明情况</w:t>
      </w:r>
    </w:p>
    <w:p w14:paraId="1CF2B3A0">
      <w:pPr>
        <w:spacing w:line="540" w:lineRule="exact"/>
        <w:ind w:firstLine="640" w:firstLineChars="200"/>
        <w:rPr>
          <w:szCs w:val="32"/>
        </w:rPr>
      </w:pPr>
      <w:r>
        <w:rPr>
          <w:rFonts w:eastAsia="楷体"/>
          <w:szCs w:val="32"/>
        </w:rPr>
        <w:t>（一）机关运行经费</w:t>
      </w:r>
    </w:p>
    <w:p w14:paraId="61042494">
      <w:pPr>
        <w:spacing w:line="540" w:lineRule="exact"/>
        <w:ind w:firstLine="640" w:firstLineChars="200"/>
        <w:rPr>
          <w:rFonts w:hint="eastAsia"/>
          <w:szCs w:val="32"/>
        </w:rPr>
      </w:pPr>
      <w:r>
        <w:rPr>
          <w:szCs w:val="32"/>
        </w:rPr>
        <w:t>本部门</w:t>
      </w:r>
      <w:r>
        <w:rPr>
          <w:rFonts w:hint="eastAsia"/>
          <w:szCs w:val="32"/>
          <w:u w:val="single"/>
        </w:rPr>
        <w:t>为事业单位，</w:t>
      </w:r>
      <w:r>
        <w:rPr>
          <w:szCs w:val="32"/>
          <w:u w:val="single"/>
        </w:rPr>
        <w:t>无</w:t>
      </w:r>
      <w:r>
        <w:rPr>
          <w:rFonts w:hint="eastAsia"/>
          <w:szCs w:val="32"/>
          <w:u w:val="single"/>
        </w:rPr>
        <w:t>机关运行经费。</w:t>
      </w:r>
    </w:p>
    <w:p w14:paraId="4CAF1C1A">
      <w:pPr>
        <w:spacing w:line="540" w:lineRule="exact"/>
        <w:ind w:firstLine="640" w:firstLineChars="200"/>
        <w:rPr>
          <w:rFonts w:eastAsia="楷体"/>
          <w:szCs w:val="32"/>
        </w:rPr>
      </w:pPr>
      <w:r>
        <w:rPr>
          <w:rFonts w:eastAsia="楷体"/>
          <w:szCs w:val="32"/>
        </w:rPr>
        <w:t>（二）政府采购情况</w:t>
      </w:r>
    </w:p>
    <w:p w14:paraId="0E1EF716">
      <w:pPr>
        <w:spacing w:line="540" w:lineRule="exact"/>
        <w:ind w:firstLine="640" w:firstLineChars="200"/>
        <w:rPr>
          <w:rFonts w:hint="eastAsia"/>
          <w:szCs w:val="32"/>
        </w:rPr>
      </w:pPr>
      <w:r>
        <w:rPr>
          <w:szCs w:val="32"/>
        </w:rPr>
        <w:t>本部门</w:t>
      </w:r>
      <w:r>
        <w:rPr>
          <w:rFonts w:hint="eastAsia"/>
          <w:szCs w:val="32"/>
          <w:u w:val="single"/>
        </w:rPr>
        <w:t>本年度无</w:t>
      </w:r>
      <w:r>
        <w:rPr>
          <w:szCs w:val="32"/>
          <w:u w:val="single"/>
        </w:rPr>
        <w:t>政府采购预算</w:t>
      </w:r>
      <w:r>
        <w:rPr>
          <w:rFonts w:hint="eastAsia"/>
          <w:szCs w:val="32"/>
          <w:u w:val="single"/>
        </w:rPr>
        <w:t>。</w:t>
      </w:r>
    </w:p>
    <w:p w14:paraId="2ACB5FA3">
      <w:pPr>
        <w:spacing w:line="540" w:lineRule="exact"/>
        <w:ind w:firstLine="640" w:firstLineChars="200"/>
        <w:rPr>
          <w:szCs w:val="32"/>
        </w:rPr>
      </w:pPr>
      <w:r>
        <w:rPr>
          <w:rFonts w:hint="eastAsia"/>
          <w:szCs w:val="32"/>
          <w:lang w:eastAsia="zh-CN"/>
        </w:rPr>
        <w:t>202</w:t>
      </w:r>
      <w:r>
        <w:rPr>
          <w:rFonts w:hint="eastAsia"/>
          <w:szCs w:val="32"/>
          <w:lang w:val="en-US" w:eastAsia="zh-CN"/>
        </w:rPr>
        <w:t>6</w:t>
      </w:r>
      <w:r>
        <w:rPr>
          <w:szCs w:val="32"/>
        </w:rPr>
        <w:t>年政府采购预算总额</w:t>
      </w:r>
      <w:r>
        <w:rPr>
          <w:rFonts w:hint="eastAsia"/>
          <w:szCs w:val="32"/>
          <w:u w:val="single"/>
        </w:rPr>
        <w:t>0</w:t>
      </w:r>
      <w:r>
        <w:rPr>
          <w:szCs w:val="32"/>
        </w:rPr>
        <w:t>万元，其中：政府采购货物预算</w:t>
      </w:r>
      <w:r>
        <w:rPr>
          <w:rFonts w:hint="eastAsia"/>
          <w:szCs w:val="32"/>
          <w:u w:val="single"/>
        </w:rPr>
        <w:t>0</w:t>
      </w:r>
      <w:r>
        <w:rPr>
          <w:szCs w:val="32"/>
        </w:rPr>
        <w:t>万元、政府采购工程预算</w:t>
      </w:r>
      <w:r>
        <w:rPr>
          <w:rFonts w:hint="eastAsia"/>
          <w:szCs w:val="32"/>
          <w:u w:val="single"/>
        </w:rPr>
        <w:t>0</w:t>
      </w:r>
      <w:r>
        <w:rPr>
          <w:szCs w:val="32"/>
        </w:rPr>
        <w:t>万元、政府采购服务预算</w:t>
      </w:r>
      <w:r>
        <w:rPr>
          <w:rFonts w:hint="eastAsia"/>
          <w:szCs w:val="32"/>
          <w:u w:val="single"/>
        </w:rPr>
        <w:t>0</w:t>
      </w:r>
      <w:r>
        <w:rPr>
          <w:szCs w:val="32"/>
        </w:rPr>
        <w:t>万元。</w:t>
      </w:r>
    </w:p>
    <w:p w14:paraId="1412D4A4">
      <w:pPr>
        <w:spacing w:line="540" w:lineRule="exact"/>
        <w:ind w:firstLine="640" w:firstLineChars="200"/>
        <w:rPr>
          <w:rFonts w:eastAsia="楷体"/>
          <w:szCs w:val="32"/>
        </w:rPr>
      </w:pPr>
      <w:r>
        <w:rPr>
          <w:rFonts w:eastAsia="楷体"/>
          <w:szCs w:val="32"/>
        </w:rPr>
        <w:t>（三）国有资产占有使用情况</w:t>
      </w:r>
    </w:p>
    <w:p w14:paraId="546E0460">
      <w:pPr>
        <w:spacing w:line="540" w:lineRule="exact"/>
        <w:ind w:firstLine="640" w:firstLineChars="200"/>
        <w:rPr>
          <w:rFonts w:hint="eastAsia"/>
          <w:szCs w:val="32"/>
        </w:rPr>
      </w:pPr>
      <w:r>
        <w:rPr>
          <w:rFonts w:hint="eastAsia"/>
          <w:szCs w:val="32"/>
        </w:rPr>
        <w:t>截至</w:t>
      </w:r>
      <w:r>
        <w:rPr>
          <w:rFonts w:hint="eastAsia"/>
          <w:szCs w:val="32"/>
          <w:lang w:eastAsia="zh-CN"/>
        </w:rPr>
        <w:t>202</w:t>
      </w:r>
      <w:r>
        <w:rPr>
          <w:rFonts w:hint="eastAsia"/>
          <w:szCs w:val="32"/>
          <w:lang w:val="en-US" w:eastAsia="zh-CN"/>
        </w:rPr>
        <w:t>5</w:t>
      </w:r>
      <w:r>
        <w:rPr>
          <w:rFonts w:hint="eastAsia"/>
          <w:szCs w:val="32"/>
        </w:rPr>
        <w:t>年</w:t>
      </w:r>
      <w:r>
        <w:rPr>
          <w:rFonts w:hint="eastAsia"/>
          <w:szCs w:val="32"/>
          <w:lang w:val="en-US" w:eastAsia="zh-CN"/>
        </w:rPr>
        <w:t>12</w:t>
      </w:r>
      <w:r>
        <w:rPr>
          <w:rFonts w:hint="eastAsia"/>
          <w:szCs w:val="32"/>
        </w:rPr>
        <w:t>月底，部门本级和所属各预算单位共有车辆</w:t>
      </w:r>
      <w:r>
        <w:rPr>
          <w:rFonts w:hint="eastAsia"/>
          <w:szCs w:val="32"/>
          <w:u w:val="single"/>
        </w:rPr>
        <w:t>0</w:t>
      </w:r>
      <w:r>
        <w:rPr>
          <w:rFonts w:hint="eastAsia"/>
          <w:szCs w:val="32"/>
        </w:rPr>
        <w:t>辆，土地</w:t>
      </w:r>
      <w:r>
        <w:rPr>
          <w:rFonts w:hint="eastAsia"/>
          <w:szCs w:val="32"/>
          <w:u w:val="single"/>
        </w:rPr>
        <w:t>0</w:t>
      </w:r>
      <w:r>
        <w:rPr>
          <w:rFonts w:hint="eastAsia"/>
          <w:szCs w:val="32"/>
        </w:rPr>
        <w:t>平方米，房屋</w:t>
      </w:r>
      <w:r>
        <w:rPr>
          <w:rFonts w:hint="eastAsia"/>
          <w:szCs w:val="32"/>
          <w:u w:val="single"/>
        </w:rPr>
        <w:t>0</w:t>
      </w:r>
      <w:r>
        <w:rPr>
          <w:rFonts w:hint="eastAsia"/>
          <w:szCs w:val="32"/>
        </w:rPr>
        <w:t>平方米，单价50万元及以上的通用设备</w:t>
      </w:r>
      <w:r>
        <w:rPr>
          <w:rFonts w:hint="eastAsia"/>
          <w:szCs w:val="32"/>
          <w:u w:val="single"/>
        </w:rPr>
        <w:t>0</w:t>
      </w:r>
      <w:r>
        <w:rPr>
          <w:rFonts w:hint="eastAsia"/>
          <w:szCs w:val="32"/>
        </w:rPr>
        <w:t>台/套，单价100万元及以上的专用设备实有数</w:t>
      </w:r>
      <w:r>
        <w:rPr>
          <w:rFonts w:hint="eastAsia"/>
          <w:szCs w:val="32"/>
          <w:u w:val="single"/>
        </w:rPr>
        <w:t>0</w:t>
      </w:r>
      <w:r>
        <w:rPr>
          <w:rFonts w:hint="eastAsia"/>
          <w:szCs w:val="32"/>
        </w:rPr>
        <w:t>台/套。</w:t>
      </w:r>
    </w:p>
    <w:p w14:paraId="4E57BD24">
      <w:pPr>
        <w:spacing w:line="540" w:lineRule="exact"/>
        <w:ind w:firstLine="640" w:firstLineChars="200"/>
        <w:rPr>
          <w:szCs w:val="32"/>
        </w:rPr>
      </w:pPr>
      <w:r>
        <w:rPr>
          <w:rFonts w:hint="eastAsia"/>
          <w:szCs w:val="32"/>
          <w:lang w:eastAsia="zh-CN"/>
        </w:rPr>
        <w:t>202</w:t>
      </w:r>
      <w:r>
        <w:rPr>
          <w:rFonts w:hint="eastAsia"/>
          <w:szCs w:val="32"/>
          <w:lang w:val="en-US" w:eastAsia="zh-CN"/>
        </w:rPr>
        <w:t>6</w:t>
      </w:r>
      <w:r>
        <w:rPr>
          <w:rFonts w:hint="eastAsia"/>
          <w:szCs w:val="32"/>
        </w:rPr>
        <w:t>年部门预算安排购置车辆_</w:t>
      </w:r>
      <w:r>
        <w:rPr>
          <w:rFonts w:hint="eastAsia"/>
          <w:szCs w:val="32"/>
          <w:u w:val="single"/>
        </w:rPr>
        <w:t>0</w:t>
      </w:r>
      <w:r>
        <w:rPr>
          <w:rFonts w:hint="eastAsia"/>
          <w:szCs w:val="32"/>
        </w:rPr>
        <w:t>_辆，安排购置土地</w:t>
      </w:r>
      <w:r>
        <w:rPr>
          <w:rFonts w:hint="eastAsia"/>
          <w:szCs w:val="32"/>
          <w:u w:val="single"/>
        </w:rPr>
        <w:t>0</w:t>
      </w:r>
      <w:r>
        <w:rPr>
          <w:rFonts w:hint="eastAsia"/>
          <w:szCs w:val="32"/>
        </w:rPr>
        <w:t>平方米，安排购置房屋_</w:t>
      </w:r>
      <w:r>
        <w:rPr>
          <w:rFonts w:hint="eastAsia"/>
          <w:szCs w:val="32"/>
          <w:u w:val="single"/>
        </w:rPr>
        <w:t>0</w:t>
      </w:r>
      <w:r>
        <w:rPr>
          <w:rFonts w:hint="eastAsia"/>
          <w:szCs w:val="32"/>
        </w:rPr>
        <w:t>平方米，计划新增单价50万元及以上的通用设备</w:t>
      </w:r>
      <w:r>
        <w:rPr>
          <w:rFonts w:hint="eastAsia"/>
          <w:szCs w:val="32"/>
          <w:u w:val="single"/>
        </w:rPr>
        <w:t>0</w:t>
      </w:r>
      <w:r>
        <w:rPr>
          <w:rFonts w:hint="eastAsia"/>
          <w:szCs w:val="32"/>
        </w:rPr>
        <w:t>台/套，计划新增单价100万元及以上的专用设备实有数</w:t>
      </w:r>
      <w:r>
        <w:rPr>
          <w:rFonts w:hint="eastAsia"/>
          <w:szCs w:val="32"/>
          <w:u w:val="single"/>
        </w:rPr>
        <w:t>0</w:t>
      </w:r>
      <w:r>
        <w:rPr>
          <w:rFonts w:hint="eastAsia"/>
          <w:szCs w:val="32"/>
        </w:rPr>
        <w:t>台/套。</w:t>
      </w:r>
    </w:p>
    <w:p w14:paraId="1D8DB8A5">
      <w:pPr>
        <w:numPr>
          <w:ilvl w:val="0"/>
          <w:numId w:val="2"/>
        </w:numPr>
        <w:spacing w:line="540" w:lineRule="exact"/>
        <w:ind w:firstLine="640" w:firstLineChars="200"/>
        <w:rPr>
          <w:rFonts w:hint="eastAsia" w:eastAsia="楷体"/>
          <w:szCs w:val="32"/>
        </w:rPr>
      </w:pPr>
      <w:r>
        <w:rPr>
          <w:rFonts w:hint="eastAsia" w:eastAsia="楷体"/>
          <w:szCs w:val="32"/>
        </w:rPr>
        <w:t>项目支出情况说明</w:t>
      </w:r>
    </w:p>
    <w:p w14:paraId="48D9F792">
      <w:pPr>
        <w:spacing w:line="540" w:lineRule="exact"/>
        <w:ind w:firstLine="640" w:firstLineChars="200"/>
      </w:pPr>
      <w:r>
        <w:rPr>
          <w:rFonts w:hint="eastAsia"/>
          <w:lang w:eastAsia="zh-CN"/>
        </w:rPr>
        <w:t>202</w:t>
      </w:r>
      <w:r>
        <w:rPr>
          <w:rFonts w:hint="eastAsia"/>
          <w:lang w:val="en-US" w:eastAsia="zh-CN"/>
        </w:rPr>
        <w:t>6</w:t>
      </w:r>
      <w:r>
        <w:t>年部门项目支出</w:t>
      </w:r>
      <w:r>
        <w:rPr>
          <w:rFonts w:hint="eastAsia"/>
          <w:szCs w:val="32"/>
          <w:u w:val="single"/>
          <w:lang w:val="en-US" w:eastAsia="zh-CN"/>
        </w:rPr>
        <w:t>10.45</w:t>
      </w:r>
      <w:r>
        <w:rPr>
          <w:szCs w:val="32"/>
        </w:rPr>
        <w:t>万元，其中：一级项目</w:t>
      </w:r>
      <w:r>
        <w:rPr>
          <w:rFonts w:hint="eastAsia"/>
          <w:szCs w:val="32"/>
          <w:u w:val="single"/>
          <w:lang w:val="en-US" w:eastAsia="zh-CN"/>
        </w:rPr>
        <w:t>3</w:t>
      </w:r>
      <w:r>
        <w:rPr>
          <w:szCs w:val="32"/>
        </w:rPr>
        <w:t>个，二级项目</w:t>
      </w:r>
      <w:r>
        <w:rPr>
          <w:rFonts w:hint="eastAsia"/>
          <w:szCs w:val="32"/>
          <w:u w:val="single"/>
          <w:lang w:val="en-US" w:eastAsia="zh-CN"/>
        </w:rPr>
        <w:t>0</w:t>
      </w:r>
      <w:r>
        <w:rPr>
          <w:szCs w:val="32"/>
        </w:rPr>
        <w:t>个；使用</w:t>
      </w:r>
      <w:r>
        <w:rPr>
          <w:rFonts w:hint="eastAsia"/>
          <w:szCs w:val="32"/>
        </w:rPr>
        <w:t>本年拨款</w:t>
      </w:r>
      <w:r>
        <w:rPr>
          <w:rFonts w:hint="eastAsia"/>
          <w:szCs w:val="32"/>
          <w:lang w:val="en-US" w:eastAsia="zh-CN"/>
        </w:rPr>
        <w:t>10.45</w:t>
      </w:r>
      <w:r>
        <w:rPr>
          <w:szCs w:val="32"/>
        </w:rPr>
        <w:t>万元，</w:t>
      </w:r>
      <w:r>
        <w:rPr>
          <w:rFonts w:hint="eastAsia"/>
          <w:szCs w:val="32"/>
        </w:rPr>
        <w:t>财政拨款结转</w:t>
      </w:r>
      <w:r>
        <w:rPr>
          <w:rFonts w:hint="eastAsia"/>
          <w:szCs w:val="32"/>
          <w:u w:val="single"/>
          <w:lang w:val="en-US" w:eastAsia="zh-CN"/>
        </w:rPr>
        <w:t>0</w:t>
      </w:r>
      <w:r>
        <w:rPr>
          <w:szCs w:val="32"/>
        </w:rPr>
        <w:t>万元。</w:t>
      </w:r>
    </w:p>
    <w:p w14:paraId="2F369174">
      <w:pPr>
        <w:spacing w:line="540" w:lineRule="exact"/>
        <w:ind w:firstLine="640" w:firstLineChars="200"/>
        <w:rPr>
          <w:rFonts w:hint="eastAsia"/>
          <w:szCs w:val="32"/>
        </w:rPr>
      </w:pPr>
      <w:r>
        <w:rPr>
          <w:rFonts w:hint="eastAsia" w:eastAsia="楷体"/>
          <w:szCs w:val="32"/>
        </w:rPr>
        <w:t>（五）项目支出绩效目标情况说明</w:t>
      </w:r>
    </w:p>
    <w:p w14:paraId="4861EF32">
      <w:pPr>
        <w:ind w:firstLine="645"/>
        <w:rPr>
          <w:rFonts w:hint="eastAsia" w:ascii="宋体" w:hAnsi="宋体"/>
        </w:rPr>
      </w:pPr>
      <w:r>
        <w:rPr>
          <w:rFonts w:hint="eastAsia" w:ascii="宋体" w:hAnsi="宋体"/>
        </w:rPr>
        <w:t>按照全面实施预算绩效管理的要求，结合本部门职能和重点工作，</w:t>
      </w:r>
      <w:r>
        <w:rPr>
          <w:rFonts w:hint="eastAsia" w:ascii="宋体" w:hAnsi="宋体"/>
          <w:lang w:eastAsia="zh-CN"/>
        </w:rPr>
        <w:t>202</w:t>
      </w:r>
      <w:r>
        <w:rPr>
          <w:rFonts w:hint="eastAsia" w:ascii="宋体" w:hAnsi="宋体"/>
          <w:lang w:val="en-US" w:eastAsia="zh-CN"/>
        </w:rPr>
        <w:t>6</w:t>
      </w:r>
      <w:r>
        <w:rPr>
          <w:rFonts w:hint="eastAsia" w:ascii="宋体" w:hAnsi="宋体"/>
        </w:rPr>
        <w:t>年确定</w:t>
      </w:r>
      <w:r>
        <w:rPr>
          <w:szCs w:val="32"/>
          <w:u w:val="single"/>
        </w:rPr>
        <w:t>_</w:t>
      </w:r>
      <w:r>
        <w:rPr>
          <w:rFonts w:hint="eastAsia"/>
          <w:szCs w:val="32"/>
          <w:u w:val="single"/>
          <w:lang w:val="en-US" w:eastAsia="zh-CN"/>
        </w:rPr>
        <w:t>3</w:t>
      </w:r>
      <w:r>
        <w:rPr>
          <w:rFonts w:hint="eastAsia" w:ascii="宋体" w:hAnsi="宋体"/>
        </w:rPr>
        <w:t>个一级项目支出的绩效目标和指标向社会公开，涉及金额</w:t>
      </w:r>
      <w:r>
        <w:rPr>
          <w:rFonts w:hint="eastAsia"/>
          <w:szCs w:val="32"/>
          <w:lang w:val="en-US" w:eastAsia="zh-CN"/>
        </w:rPr>
        <w:t>10.45</w:t>
      </w:r>
      <w:r>
        <w:rPr>
          <w:rFonts w:hint="eastAsia" w:ascii="宋体" w:hAnsi="宋体"/>
        </w:rPr>
        <w:t>万元。</w:t>
      </w:r>
    </w:p>
    <w:p w14:paraId="05391F79">
      <w:pPr>
        <w:ind w:firstLine="645"/>
        <w:rPr>
          <w:rFonts w:hint="eastAsia" w:ascii="宋体" w:hAnsi="宋体"/>
        </w:rPr>
      </w:pPr>
    </w:p>
    <w:p w14:paraId="0381873A">
      <w:pPr>
        <w:ind w:firstLine="645"/>
        <w:rPr>
          <w:rFonts w:hint="eastAsia" w:ascii="宋体" w:hAnsi="宋体"/>
        </w:rPr>
      </w:pPr>
    </w:p>
    <w:p w14:paraId="1F1DEBBD">
      <w:pPr>
        <w:ind w:firstLine="640" w:firstLineChars="200"/>
        <w:jc w:val="center"/>
        <w:rPr>
          <w:rFonts w:eastAsia="黑体"/>
        </w:rPr>
      </w:pPr>
      <w:r>
        <w:rPr>
          <w:rFonts w:eastAsia="黑体"/>
        </w:rPr>
        <w:t>第四部分 名词解释</w:t>
      </w:r>
    </w:p>
    <w:p w14:paraId="1D872A81">
      <w:pPr>
        <w:ind w:firstLine="640" w:firstLineChars="200"/>
        <w:jc w:val="center"/>
        <w:rPr>
          <w:rFonts w:eastAsia="黑体"/>
        </w:rPr>
      </w:pPr>
    </w:p>
    <w:p w14:paraId="36C4F67C">
      <w:pPr>
        <w:ind w:firstLine="640" w:firstLineChars="200"/>
        <w:rPr>
          <w:szCs w:val="32"/>
        </w:rPr>
      </w:pPr>
      <w:r>
        <w:rPr>
          <w:rFonts w:eastAsia="楷体"/>
          <w:szCs w:val="32"/>
        </w:rPr>
        <w:t>（一）一般公共预算拨款收入：</w:t>
      </w:r>
      <w:r>
        <w:rPr>
          <w:szCs w:val="32"/>
        </w:rPr>
        <w:t>指省级财政通过当年一般公共预算拨付的资金。</w:t>
      </w:r>
    </w:p>
    <w:p w14:paraId="683DDD8C">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76C49B54">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4CD0F4A7">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指未纳入预算并实行财政专户管理的资金收入。</w:t>
      </w:r>
    </w:p>
    <w:p w14:paraId="70F98438">
      <w:pPr>
        <w:ind w:firstLine="640"/>
        <w:rPr>
          <w:szCs w:val="32"/>
        </w:rPr>
      </w:pPr>
      <w:r>
        <w:rPr>
          <w:rFonts w:hint="eastAsia" w:eastAsia="楷体"/>
          <w:szCs w:val="32"/>
        </w:rPr>
        <w:t>（五）</w:t>
      </w:r>
      <w:r>
        <w:rPr>
          <w:rFonts w:eastAsia="楷体"/>
          <w:szCs w:val="32"/>
        </w:rPr>
        <w:t>事业收入：</w:t>
      </w:r>
      <w:r>
        <w:rPr>
          <w:szCs w:val="32"/>
        </w:rPr>
        <w:t>指事业单位开展专业业务活动及辅助活动所取得的收入。</w:t>
      </w:r>
    </w:p>
    <w:p w14:paraId="1D14A08F">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214B7F1A">
      <w:pPr>
        <w:ind w:firstLine="640"/>
        <w:rPr>
          <w:rFonts w:hint="eastAsia"/>
          <w:szCs w:val="32"/>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szCs w:val="32"/>
        </w:rPr>
        <w:t>指本单位所属下级单位（包含独立核算和非独立核算的，相关支出纳入和未纳入部门预算的下级单位）上缴给本单位的全部收入（包括下级事业单位上缴的事业收入、其他收入和下级企业单位上缴的利润等）。</w:t>
      </w:r>
    </w:p>
    <w:p w14:paraId="0008BACC">
      <w:pPr>
        <w:ind w:firstLine="64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2207DB6E">
      <w:pPr>
        <w:ind w:firstLine="640"/>
        <w:rPr>
          <w:rFonts w:eastAsia="仿宋"/>
          <w:szCs w:val="32"/>
        </w:rPr>
      </w:pPr>
      <w:r>
        <w:rPr>
          <w:rFonts w:eastAsia="楷体"/>
          <w:szCs w:val="32"/>
        </w:rPr>
        <w:t>（</w:t>
      </w:r>
      <w:r>
        <w:rPr>
          <w:rFonts w:hint="eastAsia" w:eastAsia="楷体"/>
          <w:szCs w:val="32"/>
        </w:rPr>
        <w:t>九</w:t>
      </w:r>
      <w:r>
        <w:rPr>
          <w:rFonts w:eastAsia="楷体"/>
          <w:szCs w:val="32"/>
        </w:rPr>
        <w:t>）其他收入：</w:t>
      </w:r>
      <w:r>
        <w:rPr>
          <w:szCs w:val="32"/>
        </w:rPr>
        <w:t>指除上述“一般公共预算拨款收入”、</w:t>
      </w:r>
      <w:r>
        <w:rPr>
          <w:rFonts w:hint="eastAsia"/>
          <w:szCs w:val="32"/>
        </w:rPr>
        <w:t>“政府性基金预算拨款收入”、</w:t>
      </w:r>
      <w:r>
        <w:rPr>
          <w:szCs w:val="32"/>
        </w:rPr>
        <w:t>“事业收入”、“事业单位经营收入”等以外的收入。</w:t>
      </w:r>
    </w:p>
    <w:p w14:paraId="4B1E3B6F">
      <w:pPr>
        <w:ind w:firstLine="640"/>
        <w:rPr>
          <w:szCs w:val="32"/>
        </w:rPr>
      </w:pPr>
      <w:r>
        <w:rPr>
          <w:rFonts w:eastAsia="楷体"/>
          <w:szCs w:val="32"/>
        </w:rPr>
        <w:t>（</w:t>
      </w:r>
      <w:r>
        <w:rPr>
          <w:rFonts w:hint="eastAsia" w:eastAsia="楷体"/>
          <w:szCs w:val="32"/>
        </w:rPr>
        <w:t>十</w:t>
      </w:r>
      <w:r>
        <w:rPr>
          <w:rFonts w:eastAsia="楷体"/>
          <w:szCs w:val="32"/>
        </w:rPr>
        <w:t>）用事业基金弥补收支差额：</w:t>
      </w:r>
      <w:r>
        <w:rPr>
          <w:szCs w:val="32"/>
        </w:rPr>
        <w:t>指事业单位在预计当年的“一般公共预算拨款收入”、</w:t>
      </w:r>
      <w:r>
        <w:rPr>
          <w:rFonts w:hint="eastAsia"/>
          <w:szCs w:val="32"/>
        </w:rPr>
        <w:t>“政府性基金预算拨款收入”、</w:t>
      </w:r>
      <w:r>
        <w:rPr>
          <w:szCs w:val="32"/>
        </w:rPr>
        <w:t>“事业收入”、“事业单位经营收入”、“其他收入”不足以安排当年支出的情况下，使用以前年度积累的事业基金（事业单位当年收支相抵后按国家规定提取、用于弥补以后年度收支差额的基金）弥补本年度收支缺口的资金。</w:t>
      </w:r>
    </w:p>
    <w:p w14:paraId="7D84A796">
      <w:pPr>
        <w:ind w:firstLine="640"/>
        <w:rPr>
          <w:szCs w:val="32"/>
        </w:rPr>
      </w:pPr>
      <w:r>
        <w:rPr>
          <w:rFonts w:eastAsia="楷体"/>
          <w:szCs w:val="32"/>
        </w:rPr>
        <w:t>（十</w:t>
      </w:r>
      <w:r>
        <w:rPr>
          <w:rFonts w:hint="eastAsia" w:eastAsia="楷体"/>
          <w:szCs w:val="32"/>
        </w:rPr>
        <w:t>一</w:t>
      </w:r>
      <w:r>
        <w:rPr>
          <w:rFonts w:eastAsia="楷体"/>
          <w:szCs w:val="32"/>
        </w:rPr>
        <w:t>）上年结转：</w:t>
      </w:r>
      <w:r>
        <w:rPr>
          <w:szCs w:val="32"/>
        </w:rPr>
        <w:t>指以前年度尚未完成、结转到本年仍按原规定用途继续使用的资金。</w:t>
      </w:r>
    </w:p>
    <w:p w14:paraId="35FB0B8B">
      <w:pPr>
        <w:ind w:firstLine="640"/>
        <w:rPr>
          <w:szCs w:val="32"/>
        </w:rPr>
      </w:pPr>
      <w:r>
        <w:rPr>
          <w:rFonts w:eastAsia="楷体"/>
          <w:szCs w:val="32"/>
        </w:rPr>
        <w:t>（十二）结转下年：</w:t>
      </w:r>
      <w:r>
        <w:rPr>
          <w:szCs w:val="32"/>
        </w:rPr>
        <w:t>指以前年度预算安排、因客观条件发生变化无法按原计划实施，需延迟到以后年度按原规定用途继续使用的资金。</w:t>
      </w:r>
    </w:p>
    <w:p w14:paraId="457E7B84">
      <w:pPr>
        <w:ind w:firstLine="640"/>
        <w:rPr>
          <w:szCs w:val="32"/>
        </w:rPr>
      </w:pPr>
      <w:r>
        <w:rPr>
          <w:rFonts w:eastAsia="楷体"/>
          <w:szCs w:val="32"/>
        </w:rPr>
        <w:t>（十三）基本支出：</w:t>
      </w:r>
      <w:r>
        <w:rPr>
          <w:szCs w:val="32"/>
        </w:rPr>
        <w:t>指为保障机构正常运转、完成日常工作任务而发生的人员支出和公用支出。</w:t>
      </w:r>
    </w:p>
    <w:p w14:paraId="3E1032A7">
      <w:pPr>
        <w:ind w:firstLine="640"/>
        <w:rPr>
          <w:szCs w:val="32"/>
        </w:rPr>
      </w:pPr>
      <w:r>
        <w:rPr>
          <w:rFonts w:eastAsia="楷体"/>
          <w:szCs w:val="32"/>
        </w:rPr>
        <w:t>（十</w:t>
      </w:r>
      <w:r>
        <w:rPr>
          <w:rFonts w:hint="eastAsia" w:eastAsia="楷体"/>
          <w:szCs w:val="32"/>
        </w:rPr>
        <w:t>四</w:t>
      </w:r>
      <w:r>
        <w:rPr>
          <w:rFonts w:eastAsia="楷体"/>
          <w:szCs w:val="32"/>
        </w:rPr>
        <w:t>）项目支出：</w:t>
      </w:r>
      <w:r>
        <w:rPr>
          <w:szCs w:val="32"/>
        </w:rPr>
        <w:t>指在基本支出之外为完成特定行政任务和事业发展目标所发生的支出。</w:t>
      </w:r>
    </w:p>
    <w:p w14:paraId="2908CEE2">
      <w:pPr>
        <w:ind w:firstLine="640"/>
        <w:rPr>
          <w:szCs w:val="32"/>
        </w:rPr>
      </w:pPr>
      <w:r>
        <w:rPr>
          <w:rFonts w:eastAsia="楷体"/>
          <w:szCs w:val="32"/>
        </w:rPr>
        <w:t>（十</w:t>
      </w:r>
      <w:r>
        <w:rPr>
          <w:rFonts w:hint="eastAsia" w:eastAsia="楷体"/>
          <w:szCs w:val="32"/>
        </w:rPr>
        <w:t>五</w:t>
      </w:r>
      <w:r>
        <w:rPr>
          <w:rFonts w:eastAsia="楷体"/>
          <w:szCs w:val="32"/>
        </w:rPr>
        <w:t>）上缴上级支出：</w:t>
      </w:r>
      <w:r>
        <w:rPr>
          <w:szCs w:val="32"/>
        </w:rPr>
        <w:t>指附属单位上缴上级的支出。</w:t>
      </w:r>
    </w:p>
    <w:p w14:paraId="6144F876">
      <w:pPr>
        <w:ind w:firstLine="640"/>
        <w:rPr>
          <w:szCs w:val="32"/>
        </w:rPr>
      </w:pPr>
      <w:r>
        <w:rPr>
          <w:rFonts w:eastAsia="楷体"/>
          <w:szCs w:val="32"/>
        </w:rPr>
        <w:t>（十</w:t>
      </w:r>
      <w:r>
        <w:rPr>
          <w:rFonts w:hint="eastAsia" w:eastAsia="楷体"/>
          <w:szCs w:val="32"/>
        </w:rPr>
        <w:t>六</w:t>
      </w:r>
      <w:r>
        <w:rPr>
          <w:rFonts w:eastAsia="楷体"/>
          <w:szCs w:val="32"/>
        </w:rPr>
        <w:t>）事业单位经营支出：</w:t>
      </w:r>
      <w:r>
        <w:rPr>
          <w:szCs w:val="32"/>
        </w:rPr>
        <w:t>指事业单位在专业业务活动及其辅助活动之外开展非独立核算经营活动发生的支出。</w:t>
      </w:r>
    </w:p>
    <w:p w14:paraId="446BA7B4">
      <w:pPr>
        <w:ind w:firstLine="640"/>
        <w:rPr>
          <w:szCs w:val="32"/>
        </w:rPr>
      </w:pPr>
      <w:r>
        <w:rPr>
          <w:rFonts w:eastAsia="楷体"/>
          <w:szCs w:val="32"/>
        </w:rPr>
        <w:t>（十</w:t>
      </w:r>
      <w:r>
        <w:rPr>
          <w:rFonts w:hint="eastAsia" w:eastAsia="楷体"/>
          <w:szCs w:val="32"/>
        </w:rPr>
        <w:t>七</w:t>
      </w:r>
      <w:r>
        <w:rPr>
          <w:rFonts w:eastAsia="楷体"/>
          <w:szCs w:val="32"/>
        </w:rPr>
        <w:t>）对附属单位补助支出：</w:t>
      </w:r>
      <w:r>
        <w:rPr>
          <w:szCs w:val="32"/>
        </w:rPr>
        <w:t>指对附属单位补助发生的支出。</w:t>
      </w:r>
    </w:p>
    <w:p w14:paraId="5EB79E5C">
      <w:pPr>
        <w:ind w:firstLine="640"/>
        <w:rPr>
          <w:szCs w:val="32"/>
        </w:rPr>
      </w:pPr>
      <w:r>
        <w:rPr>
          <w:rFonts w:eastAsia="楷体"/>
          <w:szCs w:val="32"/>
        </w:rPr>
        <w:t>（十</w:t>
      </w:r>
      <w:r>
        <w:rPr>
          <w:rFonts w:hint="eastAsia" w:eastAsia="楷体"/>
          <w:szCs w:val="32"/>
        </w:rPr>
        <w:t>八</w:t>
      </w:r>
      <w:r>
        <w:rPr>
          <w:rFonts w:eastAsia="楷体"/>
          <w:szCs w:val="32"/>
        </w:rPr>
        <w:t>）“三公”经费：</w:t>
      </w:r>
      <w:r>
        <w:rPr>
          <w:szCs w:val="32"/>
        </w:rPr>
        <w:t>纳入财政预决算管理的“三公”经费，是指部门用财政拨款安排的因公出国（境）费、公务用车购置及运行费和公务接待费。其中，因公出国（境）费反映单位公务出国（境）费的国际旅游、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5A8DE755">
      <w:pPr>
        <w:ind w:firstLine="640"/>
        <w:rPr>
          <w:szCs w:val="32"/>
        </w:rPr>
      </w:pPr>
      <w:r>
        <w:rPr>
          <w:rFonts w:eastAsia="楷体"/>
          <w:szCs w:val="32"/>
        </w:rPr>
        <w:t>（十</w:t>
      </w:r>
      <w:r>
        <w:rPr>
          <w:rFonts w:hint="eastAsia" w:eastAsia="楷体"/>
          <w:szCs w:val="32"/>
        </w:rPr>
        <w:t>九</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9C8EFEA">
      <w:pPr>
        <w:ind w:firstLine="640" w:firstLineChars="200"/>
        <w:rPr>
          <w:szCs w:val="32"/>
        </w:rPr>
      </w:pPr>
      <w:r>
        <w:rPr>
          <w:rFonts w:eastAsia="楷体"/>
          <w:szCs w:val="32"/>
        </w:rPr>
        <w:t>（</w:t>
      </w:r>
      <w:r>
        <w:rPr>
          <w:rFonts w:hint="eastAsia" w:eastAsia="楷体"/>
          <w:szCs w:val="32"/>
        </w:rPr>
        <w:t>二十</w:t>
      </w:r>
      <w:r>
        <w:rPr>
          <w:rFonts w:eastAsia="楷体"/>
          <w:szCs w:val="32"/>
        </w:rPr>
        <w:t>）</w:t>
      </w:r>
      <w:r>
        <w:rPr>
          <w:rFonts w:hint="eastAsia" w:eastAsia="楷体"/>
          <w:szCs w:val="32"/>
        </w:rPr>
        <w:t>项目支出绩效目标：</w:t>
      </w:r>
      <w:r>
        <w:rPr>
          <w:rFonts w:hint="eastAsia"/>
          <w:szCs w:val="32"/>
        </w:rPr>
        <w:t>项目支出绩效目标是指部门预算安排的项目支出在一定期限内预期达到的产出和效果。</w:t>
      </w:r>
    </w:p>
    <w:p w14:paraId="5E107EE6">
      <w:pPr>
        <w:ind w:firstLine="640"/>
        <w:rPr>
          <w:szCs w:val="32"/>
        </w:rPr>
      </w:pPr>
    </w:p>
    <w:p w14:paraId="059146E5">
      <w:pPr>
        <w:ind w:firstLine="640"/>
        <w:rPr>
          <w:szCs w:val="32"/>
        </w:rPr>
      </w:pPr>
    </w:p>
    <w:p w14:paraId="6035AA73">
      <w:pPr>
        <w:rPr>
          <w:szCs w:val="32"/>
        </w:rPr>
      </w:pPr>
    </w:p>
    <w:p w14:paraId="0D62E3B7">
      <w:pPr>
        <w:spacing w:line="700" w:lineRule="exact"/>
        <w:rPr>
          <w:kern w:val="0"/>
          <w:szCs w:val="32"/>
        </w:rPr>
      </w:pPr>
    </w:p>
    <w:sectPr>
      <w:headerReference r:id="rId3" w:type="default"/>
      <w:footerReference r:id="rId5" w:type="default"/>
      <w:headerReference r:id="rId4" w:type="even"/>
      <w:footerReference r:id="rId6" w:type="even"/>
      <w:type w:val="evenPage"/>
      <w:pgSz w:w="11907" w:h="16840"/>
      <w:pgMar w:top="2041" w:right="1588" w:bottom="2041" w:left="1588" w:header="851" w:footer="1588" w:gutter="0"/>
      <w:pgNumType w:start="0"/>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细黑">
    <w:altName w:val="hakuyoxingshu7000"/>
    <w:panose1 w:val="00000000000000000000"/>
    <w:charset w:val="86"/>
    <w:family w:val="auto"/>
    <w:pitch w:val="default"/>
    <w:sig w:usb0="00000000" w:usb1="00000000" w:usb2="00000000" w:usb3="00000000" w:csb0="0004009F" w:csb1="DFD70000"/>
  </w:font>
  <w:font w:name="hakuyoxingshu7000">
    <w:panose1 w:val="02000600000000000000"/>
    <w:charset w:val="86"/>
    <w:family w:val="auto"/>
    <w:pitch w:val="default"/>
    <w:sig w:usb0="FFFFFFFF" w:usb1="E9FFFFFF" w:usb2="0000003F" w:usb3="00000000" w:csb0="603F00FF" w:csb1="FFFF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14838">
    <w:pPr>
      <w:pStyle w:val="6"/>
      <w:framePr w:wrap="around" w:vAnchor="text" w:hAnchor="page" w:x="5372" w:y="-73"/>
      <w:rPr>
        <w:rStyle w:val="12"/>
        <w:sz w:val="28"/>
      </w:rPr>
    </w:pPr>
    <w:r>
      <w:rPr>
        <w:rStyle w:val="12"/>
        <w:rFonts w:hint="eastAsia"/>
        <w:sz w:val="28"/>
      </w:rPr>
      <w:t>—</w:t>
    </w:r>
    <w:r>
      <w:rPr>
        <w:sz w:val="28"/>
      </w:rPr>
      <w:fldChar w:fldCharType="begin"/>
    </w:r>
    <w:r>
      <w:rPr>
        <w:rStyle w:val="12"/>
        <w:sz w:val="28"/>
      </w:rPr>
      <w:instrText xml:space="preserve">PAGE  </w:instrText>
    </w:r>
    <w:r>
      <w:rPr>
        <w:sz w:val="28"/>
      </w:rPr>
      <w:fldChar w:fldCharType="separate"/>
    </w:r>
    <w:r>
      <w:rPr>
        <w:rStyle w:val="12"/>
        <w:sz w:val="28"/>
      </w:rPr>
      <w:t>1</w:t>
    </w:r>
    <w:r>
      <w:rPr>
        <w:sz w:val="28"/>
      </w:rPr>
      <w:fldChar w:fldCharType="end"/>
    </w:r>
    <w:r>
      <w:rPr>
        <w:rStyle w:val="12"/>
        <w:rFonts w:hint="eastAsia"/>
        <w:sz w:val="28"/>
      </w:rPr>
      <w:t>—</w:t>
    </w:r>
  </w:p>
  <w:p w14:paraId="7C52BD69">
    <w:pPr>
      <w:pStyle w:val="6"/>
      <w:framePr w:wrap="around" w:vAnchor="text" w:hAnchor="margin" w:xAlign="center" w:y="1"/>
      <w:ind w:right="360"/>
      <w:rPr>
        <w:rStyle w:val="12"/>
      </w:rPr>
    </w:pPr>
  </w:p>
  <w:p w14:paraId="0BAC62C9">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DDB98">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1EBAA1D4">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3C21C">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990EC">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CA05BA"/>
    <w:multiLevelType w:val="singleLevel"/>
    <w:tmpl w:val="58CA05BA"/>
    <w:lvl w:ilvl="0" w:tentative="0">
      <w:start w:val="1"/>
      <w:numFmt w:val="decimal"/>
      <w:suff w:val="nothing"/>
      <w:lvlText w:val="%1、"/>
      <w:lvlJc w:val="left"/>
    </w:lvl>
  </w:abstractNum>
  <w:abstractNum w:abstractNumId="1">
    <w:nsid w:val="601A1281"/>
    <w:multiLevelType w:val="singleLevel"/>
    <w:tmpl w:val="601A1281"/>
    <w:lvl w:ilvl="0" w:tentative="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5"/>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xMGNlMmM2NmUyMmNhM2M0M2VlMjhjODk3YTA1NGEifQ=="/>
  </w:docVars>
  <w:rsids>
    <w:rsidRoot w:val="48674ED2"/>
    <w:rsid w:val="000C6D48"/>
    <w:rsid w:val="000D7FB8"/>
    <w:rsid w:val="00102492"/>
    <w:rsid w:val="00145456"/>
    <w:rsid w:val="00187912"/>
    <w:rsid w:val="002300BA"/>
    <w:rsid w:val="00292A39"/>
    <w:rsid w:val="002A5441"/>
    <w:rsid w:val="002E322B"/>
    <w:rsid w:val="002E7CD8"/>
    <w:rsid w:val="00367BC1"/>
    <w:rsid w:val="00396D8D"/>
    <w:rsid w:val="00426F96"/>
    <w:rsid w:val="00436331"/>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34894"/>
    <w:rsid w:val="00A73E5D"/>
    <w:rsid w:val="00A96058"/>
    <w:rsid w:val="00AD4E96"/>
    <w:rsid w:val="00B05DD3"/>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7117FD"/>
    <w:rsid w:val="019B69D8"/>
    <w:rsid w:val="020E6D2C"/>
    <w:rsid w:val="026E0D49"/>
    <w:rsid w:val="031D7D4B"/>
    <w:rsid w:val="03AA4003"/>
    <w:rsid w:val="0486486A"/>
    <w:rsid w:val="04954460"/>
    <w:rsid w:val="050D06DA"/>
    <w:rsid w:val="05346D23"/>
    <w:rsid w:val="05513E94"/>
    <w:rsid w:val="056F5A6D"/>
    <w:rsid w:val="059B3770"/>
    <w:rsid w:val="05A045D0"/>
    <w:rsid w:val="05D62C1F"/>
    <w:rsid w:val="063949A0"/>
    <w:rsid w:val="0693071B"/>
    <w:rsid w:val="06BD5BC7"/>
    <w:rsid w:val="07482A14"/>
    <w:rsid w:val="09A0082A"/>
    <w:rsid w:val="09D973B9"/>
    <w:rsid w:val="0A672E8D"/>
    <w:rsid w:val="0AA255EB"/>
    <w:rsid w:val="0AB47E9D"/>
    <w:rsid w:val="0ABA06FE"/>
    <w:rsid w:val="0B5F5ADA"/>
    <w:rsid w:val="0C2A5C84"/>
    <w:rsid w:val="0CB67574"/>
    <w:rsid w:val="0D8D69F0"/>
    <w:rsid w:val="0DA001B0"/>
    <w:rsid w:val="0DCA6B3F"/>
    <w:rsid w:val="0DEB170B"/>
    <w:rsid w:val="0E4C7841"/>
    <w:rsid w:val="0F3E0406"/>
    <w:rsid w:val="0FD62F63"/>
    <w:rsid w:val="1045758D"/>
    <w:rsid w:val="10AE7F82"/>
    <w:rsid w:val="10C93B35"/>
    <w:rsid w:val="11177619"/>
    <w:rsid w:val="112605C8"/>
    <w:rsid w:val="11431086"/>
    <w:rsid w:val="116B306D"/>
    <w:rsid w:val="12E711B7"/>
    <w:rsid w:val="13453400"/>
    <w:rsid w:val="136D62BD"/>
    <w:rsid w:val="13F21722"/>
    <w:rsid w:val="1441443C"/>
    <w:rsid w:val="14C12787"/>
    <w:rsid w:val="15593E10"/>
    <w:rsid w:val="15647DA2"/>
    <w:rsid w:val="15704A83"/>
    <w:rsid w:val="159F7E25"/>
    <w:rsid w:val="15F848D0"/>
    <w:rsid w:val="160E1FA5"/>
    <w:rsid w:val="160F2600"/>
    <w:rsid w:val="17765BCA"/>
    <w:rsid w:val="17A027D8"/>
    <w:rsid w:val="17B966E9"/>
    <w:rsid w:val="188423E3"/>
    <w:rsid w:val="1A817DF8"/>
    <w:rsid w:val="1ADC594E"/>
    <w:rsid w:val="1AEB5252"/>
    <w:rsid w:val="1C3F6064"/>
    <w:rsid w:val="1C852172"/>
    <w:rsid w:val="1CA40C0C"/>
    <w:rsid w:val="1CFF4A32"/>
    <w:rsid w:val="1D833200"/>
    <w:rsid w:val="1DDE2048"/>
    <w:rsid w:val="1E3A3FD0"/>
    <w:rsid w:val="1EB55C07"/>
    <w:rsid w:val="1EE77A61"/>
    <w:rsid w:val="1F351A10"/>
    <w:rsid w:val="1FAF6CE0"/>
    <w:rsid w:val="1FED47E9"/>
    <w:rsid w:val="206816AC"/>
    <w:rsid w:val="209518E8"/>
    <w:rsid w:val="22A4003E"/>
    <w:rsid w:val="22FD3CF7"/>
    <w:rsid w:val="23EC61F6"/>
    <w:rsid w:val="244C543C"/>
    <w:rsid w:val="24624768"/>
    <w:rsid w:val="249348BF"/>
    <w:rsid w:val="24BA2272"/>
    <w:rsid w:val="25461A9E"/>
    <w:rsid w:val="259B5BC5"/>
    <w:rsid w:val="259C6DD4"/>
    <w:rsid w:val="25F62C4E"/>
    <w:rsid w:val="26643D6C"/>
    <w:rsid w:val="26844B17"/>
    <w:rsid w:val="26C27FDD"/>
    <w:rsid w:val="26FE109D"/>
    <w:rsid w:val="27073E1E"/>
    <w:rsid w:val="27B04AB3"/>
    <w:rsid w:val="280D5AD7"/>
    <w:rsid w:val="28A63332"/>
    <w:rsid w:val="29A529F3"/>
    <w:rsid w:val="29C45F24"/>
    <w:rsid w:val="2C6D67D9"/>
    <w:rsid w:val="2CC94C4A"/>
    <w:rsid w:val="2DF8796C"/>
    <w:rsid w:val="2E432744"/>
    <w:rsid w:val="2EB22F18"/>
    <w:rsid w:val="2EE12108"/>
    <w:rsid w:val="2EED35E3"/>
    <w:rsid w:val="2F250383"/>
    <w:rsid w:val="2F63610B"/>
    <w:rsid w:val="300965A3"/>
    <w:rsid w:val="30730D6E"/>
    <w:rsid w:val="309F4388"/>
    <w:rsid w:val="30B91A70"/>
    <w:rsid w:val="32CF2C5D"/>
    <w:rsid w:val="335402B5"/>
    <w:rsid w:val="33761079"/>
    <w:rsid w:val="339466B2"/>
    <w:rsid w:val="34555AF5"/>
    <w:rsid w:val="35616772"/>
    <w:rsid w:val="35EA1663"/>
    <w:rsid w:val="364315C9"/>
    <w:rsid w:val="364C598E"/>
    <w:rsid w:val="36CC2B0F"/>
    <w:rsid w:val="36DB4C0A"/>
    <w:rsid w:val="37165257"/>
    <w:rsid w:val="38382F2E"/>
    <w:rsid w:val="3838492F"/>
    <w:rsid w:val="3887374F"/>
    <w:rsid w:val="39041A07"/>
    <w:rsid w:val="39043B77"/>
    <w:rsid w:val="39670895"/>
    <w:rsid w:val="39CB0253"/>
    <w:rsid w:val="39FE416F"/>
    <w:rsid w:val="3A657F9A"/>
    <w:rsid w:val="3A9113D4"/>
    <w:rsid w:val="3AC54F32"/>
    <w:rsid w:val="3B144A0A"/>
    <w:rsid w:val="3B3D0CDD"/>
    <w:rsid w:val="3BB645EB"/>
    <w:rsid w:val="3BC92948"/>
    <w:rsid w:val="3BE370D4"/>
    <w:rsid w:val="3C29381E"/>
    <w:rsid w:val="3C5E0F0B"/>
    <w:rsid w:val="3C711E1D"/>
    <w:rsid w:val="3C7F463D"/>
    <w:rsid w:val="3CAE3960"/>
    <w:rsid w:val="3D365BF6"/>
    <w:rsid w:val="3DF23324"/>
    <w:rsid w:val="3EA14040"/>
    <w:rsid w:val="3EE8108D"/>
    <w:rsid w:val="3EF1250A"/>
    <w:rsid w:val="40B80EFF"/>
    <w:rsid w:val="40DF294B"/>
    <w:rsid w:val="41110DA8"/>
    <w:rsid w:val="41446289"/>
    <w:rsid w:val="41A35364"/>
    <w:rsid w:val="41A7786B"/>
    <w:rsid w:val="41C31686"/>
    <w:rsid w:val="42324075"/>
    <w:rsid w:val="42982B4E"/>
    <w:rsid w:val="43347D49"/>
    <w:rsid w:val="436B1E42"/>
    <w:rsid w:val="43FB2220"/>
    <w:rsid w:val="454A4722"/>
    <w:rsid w:val="456D114B"/>
    <w:rsid w:val="45EB670F"/>
    <w:rsid w:val="46AB7C0D"/>
    <w:rsid w:val="46CA782D"/>
    <w:rsid w:val="46D44808"/>
    <w:rsid w:val="47CF49E6"/>
    <w:rsid w:val="48674ED2"/>
    <w:rsid w:val="487708E6"/>
    <w:rsid w:val="48EE1869"/>
    <w:rsid w:val="49645F71"/>
    <w:rsid w:val="49903D33"/>
    <w:rsid w:val="499C7517"/>
    <w:rsid w:val="499F5C68"/>
    <w:rsid w:val="49B65A21"/>
    <w:rsid w:val="49EB0E21"/>
    <w:rsid w:val="4AF16062"/>
    <w:rsid w:val="4B111174"/>
    <w:rsid w:val="4B646DDD"/>
    <w:rsid w:val="4B7F44F8"/>
    <w:rsid w:val="4BAC24C5"/>
    <w:rsid w:val="4BFA0656"/>
    <w:rsid w:val="4C8A31B1"/>
    <w:rsid w:val="4D730507"/>
    <w:rsid w:val="4D741DD3"/>
    <w:rsid w:val="4DC93207"/>
    <w:rsid w:val="4DCB2178"/>
    <w:rsid w:val="4E8D5761"/>
    <w:rsid w:val="4EF54A85"/>
    <w:rsid w:val="4F6B55FD"/>
    <w:rsid w:val="4FC96B8B"/>
    <w:rsid w:val="501B3C66"/>
    <w:rsid w:val="504B40C5"/>
    <w:rsid w:val="50987DC2"/>
    <w:rsid w:val="50A4703E"/>
    <w:rsid w:val="50C105AA"/>
    <w:rsid w:val="5136104F"/>
    <w:rsid w:val="52071113"/>
    <w:rsid w:val="52586B0D"/>
    <w:rsid w:val="525A440D"/>
    <w:rsid w:val="53CD4233"/>
    <w:rsid w:val="544A72EE"/>
    <w:rsid w:val="545074A8"/>
    <w:rsid w:val="54741940"/>
    <w:rsid w:val="54810E66"/>
    <w:rsid w:val="54921C42"/>
    <w:rsid w:val="54C2556E"/>
    <w:rsid w:val="55480EEF"/>
    <w:rsid w:val="56A434E4"/>
    <w:rsid w:val="57AE5C26"/>
    <w:rsid w:val="57DD75A9"/>
    <w:rsid w:val="58256ABD"/>
    <w:rsid w:val="58D77C23"/>
    <w:rsid w:val="59327C77"/>
    <w:rsid w:val="59472AC7"/>
    <w:rsid w:val="5AB343F7"/>
    <w:rsid w:val="5ABF50F2"/>
    <w:rsid w:val="5AF76904"/>
    <w:rsid w:val="5B052E7A"/>
    <w:rsid w:val="5B3D7F7E"/>
    <w:rsid w:val="5B693284"/>
    <w:rsid w:val="5B7C7777"/>
    <w:rsid w:val="5BB50AC2"/>
    <w:rsid w:val="5BEC6771"/>
    <w:rsid w:val="5C702869"/>
    <w:rsid w:val="5CA506B9"/>
    <w:rsid w:val="5CAC13C7"/>
    <w:rsid w:val="5D2418A5"/>
    <w:rsid w:val="5D5A7C63"/>
    <w:rsid w:val="5E1B67B0"/>
    <w:rsid w:val="5E256F6F"/>
    <w:rsid w:val="5F6235A9"/>
    <w:rsid w:val="5F926F9A"/>
    <w:rsid w:val="60EA6049"/>
    <w:rsid w:val="614125C2"/>
    <w:rsid w:val="618705D0"/>
    <w:rsid w:val="61913989"/>
    <w:rsid w:val="61D5316E"/>
    <w:rsid w:val="624C5C52"/>
    <w:rsid w:val="625E7DFD"/>
    <w:rsid w:val="63394C41"/>
    <w:rsid w:val="636C22A8"/>
    <w:rsid w:val="63A63014"/>
    <w:rsid w:val="63DF08E4"/>
    <w:rsid w:val="647E3037"/>
    <w:rsid w:val="64C04AFD"/>
    <w:rsid w:val="66024B77"/>
    <w:rsid w:val="661A7B69"/>
    <w:rsid w:val="664909C1"/>
    <w:rsid w:val="66951608"/>
    <w:rsid w:val="66C63EB5"/>
    <w:rsid w:val="679461D3"/>
    <w:rsid w:val="67D5211A"/>
    <w:rsid w:val="6858287E"/>
    <w:rsid w:val="69157114"/>
    <w:rsid w:val="691A443E"/>
    <w:rsid w:val="6A3B3C57"/>
    <w:rsid w:val="6A80735F"/>
    <w:rsid w:val="6A8D15EE"/>
    <w:rsid w:val="6AA34F48"/>
    <w:rsid w:val="6ACC5E47"/>
    <w:rsid w:val="6AD43ED1"/>
    <w:rsid w:val="6B11024D"/>
    <w:rsid w:val="6B7D5B36"/>
    <w:rsid w:val="6BC009EB"/>
    <w:rsid w:val="6C141DD0"/>
    <w:rsid w:val="6C1E5B9D"/>
    <w:rsid w:val="6CF120A8"/>
    <w:rsid w:val="6D8A12B0"/>
    <w:rsid w:val="6D92578D"/>
    <w:rsid w:val="6DE31325"/>
    <w:rsid w:val="6E8E6B7E"/>
    <w:rsid w:val="70DA7947"/>
    <w:rsid w:val="714213DD"/>
    <w:rsid w:val="714F30AE"/>
    <w:rsid w:val="717F272E"/>
    <w:rsid w:val="724E4FA2"/>
    <w:rsid w:val="72516F6D"/>
    <w:rsid w:val="728027C6"/>
    <w:rsid w:val="73D5420B"/>
    <w:rsid w:val="73FE7ACC"/>
    <w:rsid w:val="74556746"/>
    <w:rsid w:val="748746EE"/>
    <w:rsid w:val="76B05F52"/>
    <w:rsid w:val="76C17E06"/>
    <w:rsid w:val="76CA67BD"/>
    <w:rsid w:val="774E6400"/>
    <w:rsid w:val="775B0046"/>
    <w:rsid w:val="787D213D"/>
    <w:rsid w:val="79700BEF"/>
    <w:rsid w:val="79B24CED"/>
    <w:rsid w:val="7A090695"/>
    <w:rsid w:val="7A36759B"/>
    <w:rsid w:val="7A9B0394"/>
    <w:rsid w:val="7AA53BCD"/>
    <w:rsid w:val="7AE175F4"/>
    <w:rsid w:val="7AEB52AA"/>
    <w:rsid w:val="7B417685"/>
    <w:rsid w:val="7B5220F0"/>
    <w:rsid w:val="7BA169C0"/>
    <w:rsid w:val="7BB42825"/>
    <w:rsid w:val="7CAD595B"/>
    <w:rsid w:val="7CB1685A"/>
    <w:rsid w:val="7CF65D07"/>
    <w:rsid w:val="7D2975D1"/>
    <w:rsid w:val="7DCC0CD6"/>
    <w:rsid w:val="7F8B7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autoRedefine/>
    <w:qFormat/>
    <w:uiPriority w:val="0"/>
  </w:style>
  <w:style w:type="table" w:default="1" w:styleId="9">
    <w:name w:val="Normal Table"/>
    <w:autoRedefine/>
    <w:unhideWhenUsed/>
    <w:qFormat/>
    <w:uiPriority w:val="99"/>
    <w:tblPr>
      <w:tblCellMar>
        <w:top w:w="0" w:type="dxa"/>
        <w:left w:w="108" w:type="dxa"/>
        <w:bottom w:w="0" w:type="dxa"/>
        <w:right w:w="108" w:type="dxa"/>
      </w:tblCellMar>
    </w:tblPr>
  </w:style>
  <w:style w:type="paragraph" w:styleId="2">
    <w:name w:val="Body Text Indent"/>
    <w:basedOn w:val="1"/>
    <w:autoRedefine/>
    <w:qFormat/>
    <w:uiPriority w:val="0"/>
    <w:pPr>
      <w:tabs>
        <w:tab w:val="left" w:pos="8372"/>
      </w:tabs>
      <w:spacing w:line="540" w:lineRule="exact"/>
      <w:ind w:firstLine="630"/>
    </w:pPr>
    <w:rPr>
      <w:rFonts w:eastAsia="黑体"/>
    </w:rPr>
  </w:style>
  <w:style w:type="paragraph" w:styleId="3">
    <w:name w:val="Date"/>
    <w:basedOn w:val="1"/>
    <w:next w:val="1"/>
    <w:autoRedefine/>
    <w:qFormat/>
    <w:uiPriority w:val="0"/>
  </w:style>
  <w:style w:type="paragraph" w:styleId="4">
    <w:name w:val="Body Text Indent 2"/>
    <w:basedOn w:val="1"/>
    <w:autoRedefine/>
    <w:qFormat/>
    <w:uiPriority w:val="0"/>
    <w:pPr>
      <w:tabs>
        <w:tab w:val="left" w:pos="8372"/>
      </w:tabs>
      <w:spacing w:line="540" w:lineRule="exact"/>
      <w:ind w:firstLine="630"/>
    </w:pPr>
    <w:rPr>
      <w:b/>
      <w:bCs/>
    </w:rPr>
  </w:style>
  <w:style w:type="paragraph" w:styleId="5">
    <w:name w:val="Balloon Text"/>
    <w:basedOn w:val="1"/>
    <w:link w:val="13"/>
    <w:autoRedefine/>
    <w:qFormat/>
    <w:uiPriority w:val="0"/>
    <w:rPr>
      <w:sz w:val="18"/>
      <w:szCs w:val="18"/>
    </w:rPr>
  </w:style>
  <w:style w:type="paragraph" w:styleId="6">
    <w:name w:val="footer"/>
    <w:basedOn w:val="1"/>
    <w:link w:val="14"/>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autoRedefine/>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page number"/>
    <w:basedOn w:val="11"/>
    <w:autoRedefine/>
    <w:qFormat/>
    <w:uiPriority w:val="0"/>
  </w:style>
  <w:style w:type="character" w:customStyle="1" w:styleId="13">
    <w:name w:val="批注框文本 Char"/>
    <w:link w:val="5"/>
    <w:autoRedefine/>
    <w:qFormat/>
    <w:uiPriority w:val="0"/>
    <w:rPr>
      <w:rFonts w:eastAsia="仿宋_GB2312"/>
      <w:kern w:val="2"/>
      <w:sz w:val="18"/>
      <w:szCs w:val="18"/>
    </w:rPr>
  </w:style>
  <w:style w:type="character" w:customStyle="1" w:styleId="14">
    <w:name w:val="页脚 Char"/>
    <w:link w:val="6"/>
    <w:autoRedefine/>
    <w:qFormat/>
    <w:uiPriority w:val="0"/>
    <w:rPr>
      <w:rFonts w:eastAsia="仿宋_GB2312"/>
      <w:kern w:val="2"/>
      <w:sz w:val="18"/>
    </w:rPr>
  </w:style>
  <w:style w:type="character" w:customStyle="1" w:styleId="15">
    <w:name w:val="font11"/>
    <w:autoRedefine/>
    <w:qFormat/>
    <w:uiPriority w:val="0"/>
    <w:rPr>
      <w:rFonts w:hint="default" w:ascii="Arial" w:hAnsi="Arial" w:cs="Arial"/>
      <w:color w:val="000000"/>
      <w:sz w:val="24"/>
      <w:szCs w:val="24"/>
      <w:u w:val="none"/>
    </w:rPr>
  </w:style>
  <w:style w:type="character" w:customStyle="1" w:styleId="16">
    <w:name w:val="font61"/>
    <w:autoRedefine/>
    <w:qFormat/>
    <w:uiPriority w:val="0"/>
    <w:rPr>
      <w:rFonts w:hint="eastAsia" w:ascii="宋体" w:hAnsi="宋体" w:eastAsia="宋体" w:cs="宋体"/>
      <w:color w:val="000000"/>
      <w:sz w:val="24"/>
      <w:szCs w:val="24"/>
      <w:u w:val="none"/>
    </w:rPr>
  </w:style>
  <w:style w:type="character" w:customStyle="1" w:styleId="17">
    <w:name w:val="font01"/>
    <w:autoRedefine/>
    <w:qFormat/>
    <w:uiPriority w:val="0"/>
    <w:rPr>
      <w:rFonts w:hint="default" w:ascii="Times New Roman" w:hAnsi="Times New Roman" w:cs="Times New Roman"/>
      <w:color w:val="000000"/>
      <w:sz w:val="24"/>
      <w:szCs w:val="24"/>
      <w:u w:val="none"/>
    </w:rPr>
  </w:style>
  <w:style w:type="character" w:customStyle="1" w:styleId="18">
    <w:name w:val="font41"/>
    <w:autoRedefine/>
    <w:qFormat/>
    <w:uiPriority w:val="0"/>
    <w:rPr>
      <w:rFonts w:hint="default" w:ascii="华文细黑" w:hAnsi="华文细黑" w:eastAsia="华文细黑" w:cs="华文细黑"/>
      <w:color w:val="000000"/>
      <w:sz w:val="20"/>
      <w:szCs w:val="20"/>
      <w:u w:val="none"/>
    </w:rPr>
  </w:style>
  <w:style w:type="character" w:customStyle="1" w:styleId="19">
    <w:name w:val="font21"/>
    <w:autoRedefine/>
    <w:qFormat/>
    <w:uiPriority w:val="0"/>
    <w:rPr>
      <w:rFonts w:hint="default" w:ascii="Arial" w:hAnsi="Arial" w:cs="Arial"/>
      <w:color w:val="000000"/>
      <w:sz w:val="20"/>
      <w:szCs w:val="20"/>
      <w:u w:val="none"/>
    </w:rPr>
  </w:style>
  <w:style w:type="paragraph" w:customStyle="1" w:styleId="20">
    <w:name w:val="Char"/>
    <w:basedOn w:val="1"/>
    <w:autoRedefine/>
    <w:qFormat/>
    <w:uiPriority w:val="0"/>
    <w:rPr>
      <w:rFonts w:eastAsia="宋体"/>
      <w:sz w:val="21"/>
      <w:szCs w:val="21"/>
    </w:rPr>
  </w:style>
  <w:style w:type="paragraph" w:customStyle="1" w:styleId="21">
    <w:name w:val="页眉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2">
    <w:name w:val="页眉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3">
    <w:name w:val="页脚 New New New New New New New New New New New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24">
    <w:name w:val="页眉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5">
    <w:name w:val="页脚 New New New New New New New New New New New"/>
    <w:basedOn w:val="1"/>
    <w:autoRedefine/>
    <w:qFormat/>
    <w:uiPriority w:val="0"/>
    <w:pPr>
      <w:tabs>
        <w:tab w:val="center" w:pos="4153"/>
        <w:tab w:val="right" w:pos="8306"/>
      </w:tabs>
      <w:snapToGrid w:val="0"/>
      <w:jc w:val="left"/>
    </w:pPr>
    <w:rPr>
      <w:sz w:val="18"/>
    </w:rPr>
  </w:style>
  <w:style w:type="paragraph" w:customStyle="1" w:styleId="26">
    <w:name w:val="页脚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27">
    <w:name w:val="页脚 New New New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28">
    <w:name w:val="页眉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9">
    <w:name w:val="页眉 New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眉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1">
    <w:name w:val="页脚 New New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32">
    <w:name w:val="页脚 New New New New New New New New New New New New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33">
    <w:name w:val="页脚 New New New New New New New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34">
    <w:name w:val="页脚 New New New New New"/>
    <w:basedOn w:val="1"/>
    <w:autoRedefine/>
    <w:qFormat/>
    <w:uiPriority w:val="0"/>
    <w:pPr>
      <w:tabs>
        <w:tab w:val="center" w:pos="4153"/>
        <w:tab w:val="right" w:pos="8306"/>
      </w:tabs>
      <w:snapToGrid w:val="0"/>
      <w:jc w:val="left"/>
    </w:pPr>
    <w:rPr>
      <w:sz w:val="18"/>
    </w:rPr>
  </w:style>
  <w:style w:type="paragraph" w:customStyle="1" w:styleId="35">
    <w:name w:val="正文文本 21"/>
    <w:basedOn w:val="1"/>
    <w:autoRedefine/>
    <w:qFormat/>
    <w:uiPriority w:val="0"/>
    <w:pPr>
      <w:adjustRightInd w:val="0"/>
      <w:ind w:firstLine="630"/>
      <w:jc w:val="left"/>
      <w:textAlignment w:val="baseline"/>
    </w:pPr>
    <w:rPr>
      <w:rFonts w:eastAsia="黑体"/>
    </w:rPr>
  </w:style>
  <w:style w:type="paragraph" w:customStyle="1" w:styleId="36">
    <w:name w:val="页眉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脚 New New New New New New New New New New New New"/>
    <w:basedOn w:val="1"/>
    <w:autoRedefine/>
    <w:qFormat/>
    <w:uiPriority w:val="0"/>
    <w:pPr>
      <w:tabs>
        <w:tab w:val="center" w:pos="4153"/>
        <w:tab w:val="right" w:pos="8306"/>
      </w:tabs>
      <w:snapToGrid w:val="0"/>
      <w:jc w:val="left"/>
    </w:pPr>
    <w:rPr>
      <w:sz w:val="18"/>
    </w:rPr>
  </w:style>
  <w:style w:type="paragraph" w:customStyle="1" w:styleId="38">
    <w:name w:val="页脚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39">
    <w:name w:val="页脚 New New New New New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40">
    <w:name w:val="页眉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1">
    <w:name w:val="页眉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2">
    <w:name w:val="页脚 New New New New New New New"/>
    <w:basedOn w:val="1"/>
    <w:autoRedefine/>
    <w:qFormat/>
    <w:uiPriority w:val="0"/>
    <w:pPr>
      <w:tabs>
        <w:tab w:val="center" w:pos="4153"/>
        <w:tab w:val="right" w:pos="8306"/>
      </w:tabs>
      <w:snapToGrid w:val="0"/>
      <w:jc w:val="left"/>
    </w:pPr>
    <w:rPr>
      <w:sz w:val="18"/>
    </w:rPr>
  </w:style>
  <w:style w:type="paragraph" w:customStyle="1" w:styleId="43">
    <w:name w:val="页眉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脚 New New New New New New New New New New New New New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45">
    <w:name w:val="页眉 New New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页眉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7">
    <w:name w:val="页眉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页脚 New New New New New New New New New New"/>
    <w:basedOn w:val="1"/>
    <w:autoRedefine/>
    <w:qFormat/>
    <w:uiPriority w:val="0"/>
    <w:pPr>
      <w:tabs>
        <w:tab w:val="center" w:pos="4153"/>
        <w:tab w:val="right" w:pos="8306"/>
      </w:tabs>
      <w:snapToGrid w:val="0"/>
      <w:jc w:val="left"/>
    </w:pPr>
    <w:rPr>
      <w:sz w:val="18"/>
    </w:rPr>
  </w:style>
  <w:style w:type="paragraph" w:customStyle="1" w:styleId="51">
    <w:name w:val="p0"/>
    <w:basedOn w:val="1"/>
    <w:autoRedefine/>
    <w:qFormat/>
    <w:uiPriority w:val="0"/>
    <w:pPr>
      <w:widowControl/>
    </w:pPr>
    <w:rPr>
      <w:rFonts w:eastAsia="宋体"/>
      <w:kern w:val="0"/>
      <w:szCs w:val="32"/>
    </w:rPr>
  </w:style>
  <w:style w:type="paragraph" w:customStyle="1" w:styleId="52">
    <w:name w:val="页眉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53">
    <w:name w:val="页脚 New New New New"/>
    <w:basedOn w:val="1"/>
    <w:autoRedefine/>
    <w:qFormat/>
    <w:uiPriority w:val="0"/>
    <w:pPr>
      <w:tabs>
        <w:tab w:val="center" w:pos="4153"/>
        <w:tab w:val="right" w:pos="8306"/>
      </w:tabs>
      <w:snapToGrid w:val="0"/>
      <w:jc w:val="left"/>
    </w:pPr>
    <w:rPr>
      <w:sz w:val="18"/>
    </w:rPr>
  </w:style>
  <w:style w:type="paragraph" w:customStyle="1" w:styleId="54">
    <w:name w:val="页脚 New New New New New New New New New"/>
    <w:basedOn w:val="1"/>
    <w:autoRedefine/>
    <w:qFormat/>
    <w:uiPriority w:val="0"/>
    <w:pPr>
      <w:tabs>
        <w:tab w:val="center" w:pos="4153"/>
        <w:tab w:val="right" w:pos="8306"/>
      </w:tabs>
      <w:snapToGrid w:val="0"/>
      <w:jc w:val="left"/>
    </w:pPr>
    <w:rPr>
      <w:sz w:val="18"/>
    </w:rPr>
  </w:style>
  <w:style w:type="paragraph" w:customStyle="1" w:styleId="55">
    <w:name w:val="页脚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56">
    <w:name w:val="页眉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57">
    <w:name w:val="页眉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眉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59">
    <w:name w:val="页脚 New"/>
    <w:basedOn w:val="1"/>
    <w:autoRedefine/>
    <w:qFormat/>
    <w:uiPriority w:val="0"/>
    <w:pPr>
      <w:tabs>
        <w:tab w:val="center" w:pos="4153"/>
        <w:tab w:val="right" w:pos="8306"/>
      </w:tabs>
      <w:snapToGrid w:val="0"/>
      <w:jc w:val="left"/>
    </w:pPr>
    <w:rPr>
      <w:sz w:val="18"/>
    </w:rPr>
  </w:style>
  <w:style w:type="paragraph" w:customStyle="1" w:styleId="60">
    <w:name w:val="页脚 New New New New New New"/>
    <w:basedOn w:val="1"/>
    <w:autoRedefine/>
    <w:qFormat/>
    <w:uiPriority w:val="0"/>
    <w:pPr>
      <w:tabs>
        <w:tab w:val="center" w:pos="4153"/>
        <w:tab w:val="right" w:pos="8306"/>
      </w:tabs>
      <w:snapToGrid w:val="0"/>
      <w:jc w:val="left"/>
    </w:pPr>
    <w:rPr>
      <w:sz w:val="18"/>
    </w:rPr>
  </w:style>
  <w:style w:type="paragraph" w:customStyle="1" w:styleId="61">
    <w:name w:val="页脚 New New New New New New New New New New New New New New New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62">
    <w:name w:val="页眉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眉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眉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5">
    <w:name w:val="页脚 New New New New New New New New New New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66">
    <w:name w:val="页眉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7">
    <w:name w:val="页脚 New New New New New New New New New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68">
    <w:name w:val="页眉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New New New New New New New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70">
    <w:name w:val="页眉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眉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2">
    <w:name w:val="页脚 New New New"/>
    <w:basedOn w:val="1"/>
    <w:autoRedefine/>
    <w:qFormat/>
    <w:uiPriority w:val="0"/>
    <w:pPr>
      <w:tabs>
        <w:tab w:val="center" w:pos="4153"/>
        <w:tab w:val="right" w:pos="8306"/>
      </w:tabs>
      <w:snapToGrid w:val="0"/>
      <w:jc w:val="left"/>
    </w:pPr>
    <w:rPr>
      <w:sz w:val="18"/>
    </w:rPr>
  </w:style>
  <w:style w:type="paragraph" w:customStyle="1" w:styleId="73">
    <w:name w:val="页眉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New New New New New"/>
    <w:basedOn w:val="1"/>
    <w:autoRedefine/>
    <w:qFormat/>
    <w:uiPriority w:val="0"/>
    <w:pPr>
      <w:tabs>
        <w:tab w:val="center" w:pos="4153"/>
        <w:tab w:val="right" w:pos="8306"/>
      </w:tabs>
      <w:snapToGrid w:val="0"/>
      <w:jc w:val="left"/>
    </w:pPr>
    <w:rPr>
      <w:sz w:val="18"/>
    </w:rPr>
  </w:style>
  <w:style w:type="paragraph" w:customStyle="1" w:styleId="75">
    <w:name w:val="页脚 New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76">
    <w:name w:val="页眉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w:basedOn w:val="1"/>
    <w:autoRedefine/>
    <w:qFormat/>
    <w:uiPriority w:val="0"/>
    <w:pPr>
      <w:tabs>
        <w:tab w:val="center" w:pos="4153"/>
        <w:tab w:val="right" w:pos="8306"/>
      </w:tabs>
      <w:snapToGrid w:val="0"/>
      <w:jc w:val="left"/>
    </w:pPr>
    <w:rPr>
      <w:sz w:val="18"/>
    </w:rPr>
  </w:style>
  <w:style w:type="paragraph" w:customStyle="1" w:styleId="78">
    <w:name w:val="页脚 New New New New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79">
    <w:name w:val="页眉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脚 New New New New New New New New New New New New New New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81">
    <w:name w:val="页眉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脚 New New New New New New New New New New New New New New New New New New New New New"/>
    <w:basedOn w:val="1"/>
    <w:autoRedefine/>
    <w:qFormat/>
    <w:uiPriority w:val="0"/>
    <w:pPr>
      <w:tabs>
        <w:tab w:val="center" w:pos="4153"/>
        <w:tab w:val="right" w:pos="8306"/>
      </w:tabs>
      <w:snapToGrid w:val="0"/>
      <w:jc w:val="left"/>
    </w:pPr>
    <w:rPr>
      <w:sz w:val="18"/>
    </w:rPr>
  </w:style>
  <w:style w:type="character" w:customStyle="1" w:styleId="83">
    <w:name w:val="font51"/>
    <w:basedOn w:val="11"/>
    <w:autoRedefine/>
    <w:qFormat/>
    <w:uiPriority w:val="0"/>
    <w:rPr>
      <w:rFonts w:hint="default" w:ascii="华文细黑" w:hAnsi="华文细黑" w:eastAsia="华文细黑" w:cs="华文细黑"/>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image" Target="media/image1.emf"/><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image" Target="media/image10.emf"/><Relationship Id="rId16" Type="http://schemas.openxmlformats.org/officeDocument/2006/relationships/image" Target="media/image9.emf"/><Relationship Id="rId15" Type="http://schemas.openxmlformats.org/officeDocument/2006/relationships/image" Target="media/image8.emf"/><Relationship Id="rId14" Type="http://schemas.openxmlformats.org/officeDocument/2006/relationships/image" Target="media/image7.emf"/><Relationship Id="rId13" Type="http://schemas.openxmlformats.org/officeDocument/2006/relationships/image" Target="media/image6.emf"/><Relationship Id="rId12" Type="http://schemas.openxmlformats.org/officeDocument/2006/relationships/image" Target="media/image5.emf"/><Relationship Id="rId11" Type="http://schemas.openxmlformats.org/officeDocument/2006/relationships/image" Target="media/image4.emf"/><Relationship Id="rId10" Type="http://schemas.openxmlformats.org/officeDocument/2006/relationships/image" Target="media/image3.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附件1 2020年部门预算信息公开模板</Template>
  <Pages>26</Pages>
  <Words>4688</Words>
  <Characters>5160</Characters>
  <Lines>61</Lines>
  <Paragraphs>17</Paragraphs>
  <TotalTime>46</TotalTime>
  <ScaleCrop>false</ScaleCrop>
  <LinksUpToDate>false</LinksUpToDate>
  <CharactersWithSpaces>5328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2023-04-21T05:37:00Z</dcterms:created>
  <dc:creator>Administrator</dc:creator>
  <cp:lastModifiedBy>小雪雪^_^</cp:lastModifiedBy>
  <cp:lastPrinted>2016-11-24T07:26:00Z</cp:lastPrinted>
  <dcterms:modified xsi:type="dcterms:W3CDTF">2026-05-27T02:23:01Z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1446025D78304462966DB869F8CD316E</vt:lpwstr>
  </property>
  <property fmtid="{D5CDD505-2E9C-101B-9397-08002B2CF9AE}" pid="4" name="KSOTemplateDocerSaveRecord">
    <vt:lpwstr>eyJoZGlkIjoiMGQxMGNlMmM2NmUyMmNhM2M0M2VlMjhjODk3YTA1NGEiLCJ1c2VySWQiOiI1ODQxMDg4MDAifQ==</vt:lpwstr>
  </property>
</Properties>
</file>